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C3" w:rsidRDefault="007267C3" w:rsidP="007267C3">
      <w:pPr>
        <w:jc w:val="center"/>
        <w:rPr>
          <w:rFonts w:ascii="Times New Roman" w:hAnsi="Times New Roman"/>
          <w:sz w:val="24"/>
          <w:szCs w:val="24"/>
        </w:rPr>
      </w:pPr>
      <w:r w:rsidRPr="004F0DA7">
        <w:rPr>
          <w:rFonts w:ascii="Times New Roman" w:hAnsi="Times New Roman"/>
          <w:sz w:val="24"/>
          <w:szCs w:val="24"/>
        </w:rPr>
        <w:t xml:space="preserve">April </w:t>
      </w:r>
      <w:r w:rsidR="004F0DA7" w:rsidRPr="004F0DA7">
        <w:rPr>
          <w:rFonts w:ascii="Times New Roman" w:hAnsi="Times New Roman"/>
          <w:sz w:val="24"/>
          <w:szCs w:val="24"/>
        </w:rPr>
        <w:t>28</w:t>
      </w:r>
      <w:r w:rsidRPr="004F0DA7">
        <w:rPr>
          <w:rFonts w:ascii="Times New Roman" w:hAnsi="Times New Roman"/>
          <w:sz w:val="24"/>
          <w:szCs w:val="24"/>
        </w:rPr>
        <w:t>, 2017</w:t>
      </w:r>
    </w:p>
    <w:p w:rsidR="007267C3" w:rsidRDefault="007267C3" w:rsidP="007267C3">
      <w:pPr>
        <w:rPr>
          <w:rFonts w:ascii="Times New Roman" w:hAnsi="Times New Roman"/>
          <w:sz w:val="24"/>
          <w:szCs w:val="24"/>
        </w:rPr>
      </w:pPr>
    </w:p>
    <w:p w:rsidR="007267C3" w:rsidRDefault="007267C3" w:rsidP="007267C3">
      <w:pPr>
        <w:rPr>
          <w:rFonts w:ascii="Times New Roman" w:hAnsi="Times New Roman"/>
          <w:sz w:val="24"/>
          <w:szCs w:val="24"/>
        </w:rPr>
      </w:pPr>
      <w:r>
        <w:rPr>
          <w:rFonts w:ascii="Times New Roman" w:hAnsi="Times New Roman"/>
          <w:sz w:val="24"/>
          <w:szCs w:val="24"/>
        </w:rPr>
        <w:t>Honorable Kevin Brady, Chair</w:t>
      </w:r>
    </w:p>
    <w:p w:rsidR="007267C3" w:rsidRDefault="007267C3" w:rsidP="007267C3">
      <w:pPr>
        <w:rPr>
          <w:rFonts w:ascii="Times New Roman" w:hAnsi="Times New Roman"/>
          <w:sz w:val="24"/>
          <w:szCs w:val="24"/>
        </w:rPr>
      </w:pPr>
      <w:r>
        <w:rPr>
          <w:rFonts w:ascii="Times New Roman" w:hAnsi="Times New Roman"/>
          <w:sz w:val="24"/>
          <w:szCs w:val="24"/>
        </w:rPr>
        <w:t>House Committee on Ways and Means</w:t>
      </w:r>
    </w:p>
    <w:p w:rsidR="007267C3" w:rsidRDefault="007267C3" w:rsidP="007267C3">
      <w:pPr>
        <w:rPr>
          <w:rFonts w:ascii="Times New Roman" w:hAnsi="Times New Roman"/>
          <w:sz w:val="24"/>
          <w:szCs w:val="24"/>
        </w:rPr>
      </w:pPr>
      <w:r>
        <w:rPr>
          <w:rFonts w:ascii="Times New Roman" w:hAnsi="Times New Roman"/>
          <w:sz w:val="24"/>
          <w:szCs w:val="24"/>
        </w:rPr>
        <w:t xml:space="preserve">1102 Longworth House Office Building </w:t>
      </w:r>
    </w:p>
    <w:p w:rsidR="007267C3" w:rsidRDefault="007267C3" w:rsidP="007267C3">
      <w:pPr>
        <w:rPr>
          <w:rFonts w:ascii="Times New Roman" w:hAnsi="Times New Roman"/>
          <w:sz w:val="24"/>
          <w:szCs w:val="24"/>
        </w:rPr>
      </w:pPr>
      <w:r>
        <w:rPr>
          <w:rFonts w:ascii="Times New Roman" w:hAnsi="Times New Roman"/>
          <w:sz w:val="24"/>
          <w:szCs w:val="24"/>
        </w:rPr>
        <w:t>Washington, D.C. 20515</w:t>
      </w:r>
    </w:p>
    <w:p w:rsidR="007267C3" w:rsidRDefault="007267C3" w:rsidP="007267C3">
      <w:pPr>
        <w:rPr>
          <w:rFonts w:ascii="Times New Roman" w:hAnsi="Times New Roman"/>
          <w:sz w:val="24"/>
          <w:szCs w:val="24"/>
        </w:rPr>
      </w:pPr>
    </w:p>
    <w:p w:rsidR="007267C3" w:rsidRDefault="007267C3" w:rsidP="007267C3">
      <w:pPr>
        <w:rPr>
          <w:rFonts w:ascii="Times New Roman" w:hAnsi="Times New Roman"/>
          <w:sz w:val="24"/>
          <w:szCs w:val="24"/>
        </w:rPr>
      </w:pPr>
      <w:r>
        <w:rPr>
          <w:rFonts w:ascii="Times New Roman" w:hAnsi="Times New Roman"/>
          <w:sz w:val="24"/>
          <w:szCs w:val="24"/>
        </w:rPr>
        <w:t>Honorable Orrin Hatch, Chair</w:t>
      </w:r>
    </w:p>
    <w:p w:rsidR="007267C3" w:rsidRDefault="007267C3" w:rsidP="007267C3">
      <w:pPr>
        <w:rPr>
          <w:rFonts w:ascii="Times New Roman" w:hAnsi="Times New Roman"/>
          <w:sz w:val="24"/>
          <w:szCs w:val="24"/>
        </w:rPr>
      </w:pPr>
      <w:r>
        <w:rPr>
          <w:rFonts w:ascii="Times New Roman" w:hAnsi="Times New Roman"/>
          <w:sz w:val="24"/>
          <w:szCs w:val="24"/>
        </w:rPr>
        <w:t>Senate Committee on Finance</w:t>
      </w:r>
    </w:p>
    <w:p w:rsidR="007267C3" w:rsidRDefault="007267C3" w:rsidP="007267C3">
      <w:pPr>
        <w:rPr>
          <w:rFonts w:ascii="Times New Roman" w:hAnsi="Times New Roman"/>
          <w:sz w:val="24"/>
          <w:szCs w:val="24"/>
        </w:rPr>
      </w:pPr>
      <w:r>
        <w:rPr>
          <w:rFonts w:ascii="Times New Roman" w:hAnsi="Times New Roman"/>
          <w:sz w:val="24"/>
          <w:szCs w:val="24"/>
        </w:rPr>
        <w:t>219 Dirksen Senate Office Building</w:t>
      </w:r>
    </w:p>
    <w:p w:rsidR="007267C3" w:rsidRDefault="007267C3" w:rsidP="007267C3">
      <w:pPr>
        <w:rPr>
          <w:rFonts w:ascii="Times New Roman" w:hAnsi="Times New Roman"/>
          <w:sz w:val="24"/>
          <w:szCs w:val="24"/>
        </w:rPr>
      </w:pPr>
      <w:r>
        <w:rPr>
          <w:rFonts w:ascii="Times New Roman" w:hAnsi="Times New Roman"/>
          <w:sz w:val="24"/>
          <w:szCs w:val="24"/>
        </w:rPr>
        <w:t>Washington, D.C. 20510</w:t>
      </w:r>
    </w:p>
    <w:p w:rsidR="007267C3" w:rsidRDefault="007267C3" w:rsidP="007267C3">
      <w:pPr>
        <w:rPr>
          <w:rFonts w:ascii="Times New Roman" w:hAnsi="Times New Roman"/>
          <w:sz w:val="24"/>
          <w:szCs w:val="24"/>
        </w:rPr>
      </w:pPr>
    </w:p>
    <w:p w:rsidR="007267C3" w:rsidRDefault="007267C3" w:rsidP="007267C3">
      <w:pPr>
        <w:rPr>
          <w:rFonts w:ascii="Times New Roman" w:hAnsi="Times New Roman"/>
          <w:sz w:val="24"/>
          <w:szCs w:val="24"/>
        </w:rPr>
      </w:pPr>
      <w:r>
        <w:rPr>
          <w:rFonts w:ascii="Times New Roman" w:hAnsi="Times New Roman"/>
          <w:sz w:val="24"/>
          <w:szCs w:val="24"/>
        </w:rPr>
        <w:t>Dear Chairman Brady and Chairman Hatch:</w:t>
      </w:r>
    </w:p>
    <w:p w:rsidR="007267C3" w:rsidRDefault="007267C3" w:rsidP="007267C3">
      <w:pPr>
        <w:rPr>
          <w:rFonts w:ascii="Times New Roman" w:hAnsi="Times New Roman"/>
          <w:sz w:val="24"/>
          <w:szCs w:val="24"/>
        </w:rPr>
      </w:pPr>
    </w:p>
    <w:p w:rsidR="007267C3" w:rsidRDefault="007267C3" w:rsidP="007267C3">
      <w:pPr>
        <w:rPr>
          <w:rFonts w:ascii="Times New Roman" w:hAnsi="Times New Roman"/>
          <w:sz w:val="24"/>
          <w:szCs w:val="24"/>
        </w:rPr>
      </w:pPr>
      <w:r w:rsidRPr="00EF0795">
        <w:rPr>
          <w:rFonts w:ascii="Times New Roman" w:hAnsi="Times New Roman"/>
          <w:sz w:val="24"/>
          <w:szCs w:val="24"/>
        </w:rPr>
        <w:t xml:space="preserve">The under-signed </w:t>
      </w:r>
      <w:r w:rsidR="00FA467E">
        <w:rPr>
          <w:rFonts w:ascii="Times New Roman" w:hAnsi="Times New Roman"/>
          <w:sz w:val="24"/>
          <w:szCs w:val="24"/>
        </w:rPr>
        <w:t>82</w:t>
      </w:r>
      <w:r w:rsidR="004F0DA7">
        <w:rPr>
          <w:rFonts w:ascii="Times New Roman" w:hAnsi="Times New Roman"/>
          <w:sz w:val="24"/>
          <w:szCs w:val="24"/>
        </w:rPr>
        <w:t xml:space="preserve"> </w:t>
      </w:r>
      <w:r w:rsidRPr="00EF0795">
        <w:rPr>
          <w:rFonts w:ascii="Times New Roman" w:hAnsi="Times New Roman"/>
          <w:sz w:val="24"/>
          <w:szCs w:val="24"/>
        </w:rPr>
        <w:t xml:space="preserve">organizations and </w:t>
      </w:r>
      <w:r w:rsidR="004F0DA7">
        <w:rPr>
          <w:rFonts w:ascii="Times New Roman" w:hAnsi="Times New Roman"/>
          <w:sz w:val="24"/>
          <w:szCs w:val="24"/>
        </w:rPr>
        <w:t>professionals</w:t>
      </w:r>
      <w:r w:rsidRPr="00EF0795">
        <w:rPr>
          <w:rFonts w:ascii="Times New Roman" w:hAnsi="Times New Roman"/>
          <w:sz w:val="24"/>
          <w:szCs w:val="24"/>
        </w:rPr>
        <w:t xml:space="preserve"> </w:t>
      </w:r>
      <w:r>
        <w:rPr>
          <w:rFonts w:ascii="Times New Roman" w:hAnsi="Times New Roman"/>
          <w:sz w:val="24"/>
          <w:szCs w:val="24"/>
        </w:rPr>
        <w:t xml:space="preserve">urge you to support the Steve Gleason Enduring Voices Act of 2017 to revise </w:t>
      </w:r>
      <w:r w:rsidRPr="00EF0795">
        <w:rPr>
          <w:rFonts w:ascii="Times New Roman" w:hAnsi="Times New Roman"/>
          <w:sz w:val="24"/>
          <w:szCs w:val="24"/>
        </w:rPr>
        <w:t>the Steve Gleason Act of 2015 (114</w:t>
      </w:r>
      <w:r w:rsidRPr="00EF0795">
        <w:rPr>
          <w:rFonts w:ascii="Times New Roman" w:hAnsi="Times New Roman"/>
          <w:sz w:val="24"/>
          <w:szCs w:val="24"/>
          <w:vertAlign w:val="superscript"/>
        </w:rPr>
        <w:t>th</w:t>
      </w:r>
      <w:r w:rsidRPr="00EF0795">
        <w:rPr>
          <w:rFonts w:ascii="Times New Roman" w:hAnsi="Times New Roman"/>
          <w:sz w:val="24"/>
          <w:szCs w:val="24"/>
        </w:rPr>
        <w:t xml:space="preserve"> Congress S. 984)</w:t>
      </w:r>
      <w:r>
        <w:rPr>
          <w:rFonts w:ascii="Times New Roman" w:hAnsi="Times New Roman"/>
          <w:sz w:val="24"/>
          <w:szCs w:val="24"/>
        </w:rPr>
        <w:t xml:space="preserve">. The Steve Gleason Enduring Voices Act will remove the sunset date, currently identified in law as October 1, 2018. We seek this revision to prevent extremely vulnerable Medicare beneficiaries from ever again having to relinquish their only means of communication. By revising the Steve Gleason Act of 2015 to remove the sunset date, </w:t>
      </w:r>
      <w:r w:rsidR="0090345E">
        <w:rPr>
          <w:rFonts w:ascii="Times New Roman" w:hAnsi="Times New Roman"/>
          <w:sz w:val="24"/>
          <w:szCs w:val="24"/>
        </w:rPr>
        <w:t>beneficiaries</w:t>
      </w:r>
      <w:r>
        <w:rPr>
          <w:rFonts w:ascii="Times New Roman" w:hAnsi="Times New Roman"/>
          <w:sz w:val="24"/>
          <w:szCs w:val="24"/>
        </w:rPr>
        <w:t xml:space="preserve"> with ALS, MS, Parkinson’s disease, paralysis</w:t>
      </w:r>
      <w:r w:rsidR="0090345E">
        <w:rPr>
          <w:rFonts w:ascii="Times New Roman" w:hAnsi="Times New Roman"/>
          <w:sz w:val="24"/>
          <w:szCs w:val="24"/>
        </w:rPr>
        <w:t>, cerebral palsy</w:t>
      </w:r>
      <w:r>
        <w:rPr>
          <w:rFonts w:ascii="Times New Roman" w:hAnsi="Times New Roman"/>
          <w:sz w:val="24"/>
          <w:szCs w:val="24"/>
        </w:rPr>
        <w:t xml:space="preserve"> and other debilitating conditions will be assured that M</w:t>
      </w:r>
      <w:r w:rsidRPr="00EF0795">
        <w:rPr>
          <w:rFonts w:ascii="Times New Roman" w:hAnsi="Times New Roman"/>
          <w:sz w:val="24"/>
          <w:szCs w:val="24"/>
        </w:rPr>
        <w:t xml:space="preserve">edicare coverage for speech generating devices (SGD) and related accessories </w:t>
      </w:r>
      <w:r>
        <w:rPr>
          <w:rFonts w:ascii="Times New Roman" w:hAnsi="Times New Roman"/>
          <w:sz w:val="24"/>
          <w:szCs w:val="24"/>
        </w:rPr>
        <w:t>will continue to be available.</w:t>
      </w:r>
    </w:p>
    <w:p w:rsidR="007267C3" w:rsidRDefault="007267C3" w:rsidP="007267C3">
      <w:pPr>
        <w:rPr>
          <w:rFonts w:ascii="Times New Roman" w:hAnsi="Times New Roman"/>
          <w:sz w:val="24"/>
          <w:szCs w:val="24"/>
        </w:rPr>
      </w:pPr>
    </w:p>
    <w:p w:rsidR="007267C3" w:rsidRDefault="007267C3" w:rsidP="007267C3">
      <w:pPr>
        <w:rPr>
          <w:rFonts w:ascii="Times New Roman" w:hAnsi="Times New Roman"/>
          <w:color w:val="000000"/>
          <w:sz w:val="24"/>
          <w:szCs w:val="24"/>
        </w:rPr>
      </w:pPr>
      <w:r w:rsidRPr="00EF0795">
        <w:rPr>
          <w:rFonts w:ascii="Times New Roman" w:hAnsi="Times New Roman"/>
          <w:color w:val="000000"/>
          <w:sz w:val="24"/>
          <w:szCs w:val="24"/>
        </w:rPr>
        <w:t>In the six months immediately prior to the effective date of the Steve Gleason Act (April 1, 2015 to September 30, 2015), SGDs, which are uniquely configured for each user, were covered by Medicare via a capped rental payment category. Under CMS rules, if an SGD user resided for more than a brief period of time in a nursing home, hospice or hospital, Medicare payment for the SGD stopped. Confusion and harm ensued. Nursing homes, hospice programs and hospitals did not and could not supply</w:t>
      </w:r>
      <w:r>
        <w:rPr>
          <w:rFonts w:ascii="Times New Roman" w:hAnsi="Times New Roman"/>
          <w:color w:val="000000"/>
          <w:sz w:val="24"/>
          <w:szCs w:val="24"/>
        </w:rPr>
        <w:t xml:space="preserve"> beneficiaries with</w:t>
      </w:r>
      <w:r w:rsidRPr="00EF0795">
        <w:rPr>
          <w:rFonts w:ascii="Times New Roman" w:hAnsi="Times New Roman"/>
          <w:color w:val="000000"/>
          <w:sz w:val="24"/>
          <w:szCs w:val="24"/>
        </w:rPr>
        <w:t xml:space="preserve"> a uniquely configured SGD substitute. </w:t>
      </w:r>
      <w:r>
        <w:rPr>
          <w:rFonts w:ascii="Times New Roman" w:hAnsi="Times New Roman"/>
          <w:color w:val="000000"/>
          <w:sz w:val="24"/>
          <w:szCs w:val="24"/>
        </w:rPr>
        <w:t xml:space="preserve">These most vulnerable </w:t>
      </w:r>
      <w:r w:rsidR="0090345E">
        <w:rPr>
          <w:rFonts w:ascii="Times New Roman" w:hAnsi="Times New Roman"/>
          <w:color w:val="000000"/>
          <w:sz w:val="24"/>
          <w:szCs w:val="24"/>
        </w:rPr>
        <w:t>individuals</w:t>
      </w:r>
      <w:r>
        <w:rPr>
          <w:rFonts w:ascii="Times New Roman" w:hAnsi="Times New Roman"/>
          <w:color w:val="000000"/>
          <w:sz w:val="24"/>
          <w:szCs w:val="24"/>
        </w:rPr>
        <w:t xml:space="preserve"> had to go without SGDs, leaving them unable to communicate. </w:t>
      </w:r>
      <w:r w:rsidRPr="00EF0795">
        <w:rPr>
          <w:rFonts w:ascii="Times New Roman" w:hAnsi="Times New Roman"/>
          <w:color w:val="000000"/>
          <w:sz w:val="24"/>
          <w:szCs w:val="24"/>
        </w:rPr>
        <w:t>Some died without being able to say goodbye.</w:t>
      </w:r>
    </w:p>
    <w:p w:rsidR="007267C3" w:rsidRPr="00EF0795" w:rsidRDefault="007267C3" w:rsidP="007267C3">
      <w:pPr>
        <w:rPr>
          <w:rFonts w:ascii="Times New Roman" w:hAnsi="Times New Roman"/>
          <w:sz w:val="24"/>
          <w:szCs w:val="24"/>
        </w:rPr>
      </w:pPr>
    </w:p>
    <w:p w:rsidR="007267C3" w:rsidRDefault="007267C3" w:rsidP="007267C3">
      <w:pPr>
        <w:rPr>
          <w:rFonts w:ascii="Times New Roman" w:hAnsi="Times New Roman"/>
          <w:sz w:val="24"/>
          <w:szCs w:val="24"/>
        </w:rPr>
      </w:pPr>
      <w:r w:rsidRPr="00EF0795">
        <w:rPr>
          <w:rFonts w:ascii="Times New Roman" w:hAnsi="Times New Roman"/>
          <w:sz w:val="24"/>
          <w:szCs w:val="24"/>
        </w:rPr>
        <w:t xml:space="preserve">Section 3 of the Steve Gleason Act </w:t>
      </w:r>
      <w:r>
        <w:rPr>
          <w:rFonts w:ascii="Times New Roman" w:hAnsi="Times New Roman"/>
          <w:sz w:val="24"/>
          <w:szCs w:val="24"/>
        </w:rPr>
        <w:t xml:space="preserve">of 2015 </w:t>
      </w:r>
      <w:r w:rsidRPr="00EF0795">
        <w:rPr>
          <w:rFonts w:ascii="Times New Roman" w:hAnsi="Times New Roman"/>
          <w:sz w:val="24"/>
          <w:szCs w:val="24"/>
        </w:rPr>
        <w:t xml:space="preserve">removed the rental cap for durable medical equipment under Medicare for a three year period with respect to speech generating devices. In pertinent part, </w:t>
      </w:r>
      <w:r>
        <w:rPr>
          <w:rFonts w:ascii="Times New Roman" w:hAnsi="Times New Roman"/>
          <w:sz w:val="24"/>
          <w:szCs w:val="24"/>
        </w:rPr>
        <w:t>it moved SGDs to a Medicare payment category and it amend</w:t>
      </w:r>
      <w:r w:rsidRPr="00EF0795">
        <w:rPr>
          <w:rFonts w:ascii="Times New Roman" w:hAnsi="Times New Roman"/>
          <w:sz w:val="24"/>
          <w:szCs w:val="24"/>
        </w:rPr>
        <w:t>ed Section 1834(a)(2)(A) of the Social Security Act (42 U.S.C. 1395m(a)(2)(A)(3)(iv) as follows, “in the case of devices furnished on or after October 1, 2015, and before October 1, 2018, which serves as a speech generating device or which is an accessory that is needed for the individual to effectively utilize such a device.”</w:t>
      </w:r>
    </w:p>
    <w:p w:rsidR="007267C3" w:rsidRPr="00EF0795" w:rsidRDefault="007267C3" w:rsidP="007267C3">
      <w:pPr>
        <w:rPr>
          <w:rFonts w:ascii="Times New Roman" w:hAnsi="Times New Roman"/>
          <w:sz w:val="24"/>
          <w:szCs w:val="24"/>
        </w:rPr>
      </w:pPr>
    </w:p>
    <w:p w:rsidR="007267C3" w:rsidRDefault="007267C3" w:rsidP="007267C3">
      <w:pPr>
        <w:rPr>
          <w:rFonts w:ascii="Times New Roman" w:hAnsi="Times New Roman"/>
          <w:color w:val="000000"/>
          <w:sz w:val="24"/>
          <w:szCs w:val="24"/>
        </w:rPr>
      </w:pPr>
      <w:r w:rsidRPr="00EF0795">
        <w:rPr>
          <w:rFonts w:ascii="Times New Roman" w:hAnsi="Times New Roman"/>
          <w:color w:val="000000"/>
          <w:sz w:val="24"/>
          <w:szCs w:val="24"/>
        </w:rPr>
        <w:t xml:space="preserve">Ongoing and permanent access to Medicare coverage for SGDs would ensure individuals who medically qualify for an SGD would be able to continue communicating, even if they had to leave home to live in a nursing facility, hospice or hospital. Allowing this provision of the </w:t>
      </w:r>
      <w:r>
        <w:rPr>
          <w:rFonts w:ascii="Times New Roman" w:hAnsi="Times New Roman"/>
          <w:color w:val="000000"/>
          <w:sz w:val="24"/>
          <w:szCs w:val="24"/>
        </w:rPr>
        <w:t xml:space="preserve">Steve Gleason </w:t>
      </w:r>
      <w:r w:rsidRPr="00EF0795">
        <w:rPr>
          <w:rFonts w:ascii="Times New Roman" w:hAnsi="Times New Roman"/>
          <w:color w:val="000000"/>
          <w:sz w:val="24"/>
          <w:szCs w:val="24"/>
        </w:rPr>
        <w:t xml:space="preserve">Act </w:t>
      </w:r>
      <w:r>
        <w:rPr>
          <w:rFonts w:ascii="Times New Roman" w:hAnsi="Times New Roman"/>
          <w:color w:val="000000"/>
          <w:sz w:val="24"/>
          <w:szCs w:val="24"/>
        </w:rPr>
        <w:t xml:space="preserve">of 2015 </w:t>
      </w:r>
      <w:r w:rsidRPr="00EF0795">
        <w:rPr>
          <w:rFonts w:ascii="Times New Roman" w:hAnsi="Times New Roman"/>
          <w:color w:val="000000"/>
          <w:sz w:val="24"/>
          <w:szCs w:val="24"/>
        </w:rPr>
        <w:t xml:space="preserve">to expire would create substantial access barriers for those who use SGDs </w:t>
      </w:r>
      <w:r w:rsidRPr="00EF0795">
        <w:rPr>
          <w:rFonts w:ascii="Times New Roman" w:hAnsi="Times New Roman"/>
          <w:color w:val="000000"/>
          <w:sz w:val="24"/>
          <w:szCs w:val="24"/>
        </w:rPr>
        <w:lastRenderedPageBreak/>
        <w:t xml:space="preserve">and who are in nursing facilities, hospice or hospitals – at a time when the need for communication with providers and caregivers is critical. </w:t>
      </w:r>
      <w:r>
        <w:rPr>
          <w:rFonts w:ascii="Times New Roman" w:hAnsi="Times New Roman"/>
          <w:color w:val="000000"/>
          <w:sz w:val="24"/>
          <w:szCs w:val="24"/>
        </w:rPr>
        <w:t xml:space="preserve"> </w:t>
      </w:r>
    </w:p>
    <w:p w:rsidR="007267C3" w:rsidRDefault="007267C3" w:rsidP="007267C3">
      <w:pPr>
        <w:rPr>
          <w:rFonts w:ascii="Times New Roman" w:hAnsi="Times New Roman"/>
          <w:color w:val="000000"/>
          <w:sz w:val="24"/>
          <w:szCs w:val="24"/>
        </w:rPr>
      </w:pPr>
    </w:p>
    <w:p w:rsidR="004F0DA7" w:rsidRDefault="007267C3" w:rsidP="007267C3">
      <w:pPr>
        <w:rPr>
          <w:rFonts w:ascii="Times New Roman" w:hAnsi="Times New Roman"/>
          <w:color w:val="000000"/>
          <w:sz w:val="24"/>
          <w:szCs w:val="24"/>
        </w:rPr>
      </w:pPr>
      <w:r>
        <w:rPr>
          <w:rFonts w:ascii="Times New Roman" w:hAnsi="Times New Roman"/>
          <w:color w:val="000000"/>
          <w:sz w:val="24"/>
          <w:szCs w:val="24"/>
        </w:rPr>
        <w:t>It is only eighteen</w:t>
      </w:r>
      <w:r w:rsidRPr="00EF0795">
        <w:rPr>
          <w:rFonts w:ascii="Times New Roman" w:hAnsi="Times New Roman"/>
          <w:color w:val="000000"/>
          <w:sz w:val="24"/>
          <w:szCs w:val="24"/>
        </w:rPr>
        <w:t xml:space="preserve"> m</w:t>
      </w:r>
      <w:r>
        <w:rPr>
          <w:rFonts w:ascii="Times New Roman" w:hAnsi="Times New Roman"/>
          <w:color w:val="000000"/>
          <w:sz w:val="24"/>
          <w:szCs w:val="24"/>
        </w:rPr>
        <w:t xml:space="preserve">onths away from the sunset date; </w:t>
      </w:r>
      <w:r w:rsidR="0090345E">
        <w:rPr>
          <w:rFonts w:ascii="Times New Roman" w:hAnsi="Times New Roman"/>
          <w:color w:val="000000"/>
          <w:sz w:val="24"/>
          <w:szCs w:val="24"/>
        </w:rPr>
        <w:t>individuals</w:t>
      </w:r>
      <w:r>
        <w:rPr>
          <w:rFonts w:ascii="Times New Roman" w:hAnsi="Times New Roman"/>
          <w:color w:val="000000"/>
          <w:sz w:val="24"/>
          <w:szCs w:val="24"/>
        </w:rPr>
        <w:t xml:space="preserve"> throughout the country, who have no other means of speaking, worry that the law will expire. We therefore urge you to support and pass the Steve Gleason Enduring Voices Act of 2017 to </w:t>
      </w:r>
      <w:r w:rsidRPr="00EF0795">
        <w:rPr>
          <w:rFonts w:ascii="Times New Roman" w:hAnsi="Times New Roman"/>
          <w:color w:val="000000"/>
          <w:sz w:val="24"/>
          <w:szCs w:val="24"/>
        </w:rPr>
        <w:t>remove the expiration date</w:t>
      </w:r>
      <w:r>
        <w:rPr>
          <w:rFonts w:ascii="Times New Roman" w:hAnsi="Times New Roman"/>
          <w:color w:val="000000"/>
          <w:sz w:val="24"/>
          <w:szCs w:val="24"/>
        </w:rPr>
        <w:t xml:space="preserve"> as soon as possible, ensuring that Medicare’s most vulnerable </w:t>
      </w:r>
      <w:r w:rsidR="0090345E">
        <w:rPr>
          <w:rFonts w:ascii="Times New Roman" w:hAnsi="Times New Roman"/>
          <w:color w:val="000000"/>
          <w:sz w:val="24"/>
          <w:szCs w:val="24"/>
        </w:rPr>
        <w:t>beneficiarie</w:t>
      </w:r>
      <w:r>
        <w:rPr>
          <w:rFonts w:ascii="Times New Roman" w:hAnsi="Times New Roman"/>
          <w:color w:val="000000"/>
          <w:sz w:val="24"/>
          <w:szCs w:val="24"/>
        </w:rPr>
        <w:t xml:space="preserve">s can have access to </w:t>
      </w:r>
      <w:r w:rsidRPr="00EF0795">
        <w:rPr>
          <w:rFonts w:ascii="Times New Roman" w:hAnsi="Times New Roman"/>
          <w:color w:val="000000"/>
          <w:sz w:val="24"/>
          <w:szCs w:val="24"/>
        </w:rPr>
        <w:t xml:space="preserve">SGDs and related accessories. </w:t>
      </w:r>
      <w:r>
        <w:rPr>
          <w:rFonts w:ascii="Times New Roman" w:hAnsi="Times New Roman"/>
          <w:color w:val="000000"/>
          <w:sz w:val="24"/>
          <w:szCs w:val="24"/>
        </w:rPr>
        <w:t xml:space="preserve">These </w:t>
      </w:r>
      <w:r w:rsidR="0090345E">
        <w:rPr>
          <w:rFonts w:ascii="Times New Roman" w:hAnsi="Times New Roman"/>
          <w:color w:val="000000"/>
          <w:sz w:val="24"/>
          <w:szCs w:val="24"/>
        </w:rPr>
        <w:t xml:space="preserve">individuals </w:t>
      </w:r>
      <w:r>
        <w:rPr>
          <w:rFonts w:ascii="Times New Roman" w:hAnsi="Times New Roman"/>
          <w:color w:val="000000"/>
          <w:sz w:val="24"/>
          <w:szCs w:val="24"/>
        </w:rPr>
        <w:t>deserve</w:t>
      </w:r>
      <w:r w:rsidRPr="00EF0795">
        <w:rPr>
          <w:rFonts w:ascii="Times New Roman" w:hAnsi="Times New Roman"/>
          <w:color w:val="000000"/>
          <w:sz w:val="24"/>
          <w:szCs w:val="24"/>
        </w:rPr>
        <w:t xml:space="preserve"> the</w:t>
      </w:r>
      <w:r>
        <w:rPr>
          <w:rFonts w:ascii="Times New Roman" w:hAnsi="Times New Roman"/>
          <w:color w:val="000000"/>
          <w:sz w:val="24"/>
          <w:szCs w:val="24"/>
        </w:rPr>
        <w:t xml:space="preserve"> peace-of-mind that t</w:t>
      </w:r>
      <w:r w:rsidRPr="00EF0795">
        <w:rPr>
          <w:rFonts w:ascii="Times New Roman" w:hAnsi="Times New Roman"/>
          <w:color w:val="000000"/>
          <w:sz w:val="24"/>
          <w:szCs w:val="24"/>
        </w:rPr>
        <w:t xml:space="preserve">heir ability to communicate will not be wrested away from them. </w:t>
      </w:r>
    </w:p>
    <w:p w:rsidR="004F0DA7" w:rsidRDefault="004F0DA7" w:rsidP="007267C3">
      <w:pPr>
        <w:rPr>
          <w:rFonts w:ascii="Times New Roman" w:hAnsi="Times New Roman"/>
          <w:color w:val="000000"/>
          <w:sz w:val="24"/>
          <w:szCs w:val="24"/>
        </w:rPr>
      </w:pPr>
    </w:p>
    <w:p w:rsidR="007267C3" w:rsidRDefault="004F0DA7" w:rsidP="007267C3">
      <w:pPr>
        <w:rPr>
          <w:rFonts w:ascii="Times New Roman" w:hAnsi="Times New Roman"/>
          <w:color w:val="000000"/>
          <w:sz w:val="24"/>
          <w:szCs w:val="24"/>
        </w:rPr>
      </w:pPr>
      <w:r>
        <w:rPr>
          <w:rFonts w:ascii="Times New Roman" w:hAnsi="Times New Roman"/>
          <w:color w:val="000000"/>
          <w:sz w:val="24"/>
          <w:szCs w:val="24"/>
        </w:rPr>
        <w:t xml:space="preserve">If you have questions or need additional information, please contact Kathy Holt at the Center for Medicare Advocacy </w:t>
      </w:r>
      <w:hyperlink r:id="rId6" w:history="1">
        <w:r w:rsidRPr="002F7859">
          <w:rPr>
            <w:rStyle w:val="Hyperlink"/>
            <w:rFonts w:ascii="Times New Roman" w:hAnsi="Times New Roman"/>
            <w:sz w:val="24"/>
            <w:szCs w:val="24"/>
          </w:rPr>
          <w:t>KHolt@MedicareAdvocacy.org</w:t>
        </w:r>
      </w:hyperlink>
      <w:r>
        <w:rPr>
          <w:rFonts w:ascii="Times New Roman" w:hAnsi="Times New Roman"/>
          <w:color w:val="000000"/>
          <w:sz w:val="24"/>
          <w:szCs w:val="24"/>
        </w:rPr>
        <w:t xml:space="preserve"> or (202) 293-5760.</w:t>
      </w:r>
    </w:p>
    <w:p w:rsidR="007267C3" w:rsidRDefault="007267C3" w:rsidP="007267C3">
      <w:pPr>
        <w:rPr>
          <w:rFonts w:ascii="Times New Roman" w:hAnsi="Times New Roman"/>
          <w:color w:val="000000"/>
          <w:sz w:val="24"/>
          <w:szCs w:val="24"/>
        </w:rPr>
      </w:pPr>
    </w:p>
    <w:p w:rsidR="007267C3" w:rsidRDefault="007267C3" w:rsidP="007267C3">
      <w:pPr>
        <w:rPr>
          <w:rFonts w:ascii="Times New Roman" w:hAnsi="Times New Roman"/>
          <w:color w:val="000000"/>
          <w:sz w:val="24"/>
          <w:szCs w:val="24"/>
        </w:rPr>
      </w:pPr>
      <w:r>
        <w:rPr>
          <w:rFonts w:ascii="Times New Roman" w:hAnsi="Times New Roman"/>
          <w:color w:val="000000"/>
          <w:sz w:val="24"/>
          <w:szCs w:val="24"/>
        </w:rPr>
        <w:t>Sincerely,</w:t>
      </w:r>
    </w:p>
    <w:p w:rsidR="004F0DA7" w:rsidRDefault="00FA467E" w:rsidP="007267C3">
      <w:pPr>
        <w:rPr>
          <w:rFonts w:ascii="Times New Roman" w:hAnsi="Times New Roman"/>
          <w:color w:val="000000"/>
          <w:sz w:val="24"/>
          <w:szCs w:val="24"/>
        </w:rPr>
      </w:pPr>
      <w:r>
        <w:rPr>
          <w:noProof/>
        </w:rPr>
        <w:drawing>
          <wp:inline distT="0" distB="0" distL="0" distR="0">
            <wp:extent cx="1527048" cy="1170432"/>
            <wp:effectExtent l="0" t="0" r="0" b="0"/>
            <wp:docPr id="2" name="Picture 2" descr="C:\Users\KHolt\AppData\Local\Microsoft\Windows\INetCache\Content.Word\stev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Holt\AppData\Local\Microsoft\Windows\INetCache\Content.Word\steve-si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7048" cy="1170432"/>
                    </a:xfrm>
                    <a:prstGeom prst="rect">
                      <a:avLst/>
                    </a:prstGeom>
                    <a:noFill/>
                    <a:ln>
                      <a:noFill/>
                    </a:ln>
                  </pic:spPr>
                </pic:pic>
              </a:graphicData>
            </a:graphic>
          </wp:inline>
        </w:drawing>
      </w:r>
    </w:p>
    <w:p w:rsidR="004F0DA7" w:rsidRPr="008C260A" w:rsidRDefault="004F0DA7" w:rsidP="007267C3">
      <w:pPr>
        <w:rPr>
          <w:rFonts w:ascii="Times New Roman" w:hAnsi="Times New Roman"/>
          <w:color w:val="000000"/>
          <w:sz w:val="24"/>
          <w:szCs w:val="24"/>
        </w:rPr>
      </w:pPr>
      <w:r w:rsidRPr="008C260A">
        <w:rPr>
          <w:rFonts w:ascii="Times New Roman" w:hAnsi="Times New Roman"/>
          <w:color w:val="000000"/>
          <w:sz w:val="24"/>
          <w:szCs w:val="24"/>
        </w:rPr>
        <w:t>Steve Gleason</w:t>
      </w:r>
    </w:p>
    <w:p w:rsidR="005A37A3" w:rsidRPr="008C260A" w:rsidRDefault="005A37A3" w:rsidP="007267C3">
      <w:pPr>
        <w:rPr>
          <w:rFonts w:ascii="Times New Roman" w:hAnsi="Times New Roman"/>
          <w:color w:val="000000"/>
          <w:sz w:val="24"/>
          <w:szCs w:val="24"/>
        </w:rPr>
      </w:pPr>
    </w:p>
    <w:p w:rsidR="004F0DA7" w:rsidRPr="008C260A" w:rsidRDefault="005A37A3" w:rsidP="00370534">
      <w:pPr>
        <w:rPr>
          <w:rFonts w:ascii="Times New Roman" w:hAnsi="Times New Roman"/>
          <w:color w:val="000000"/>
          <w:sz w:val="24"/>
          <w:szCs w:val="24"/>
        </w:rPr>
      </w:pPr>
      <w:proofErr w:type="gramStart"/>
      <w:r w:rsidRPr="008C260A">
        <w:rPr>
          <w:rFonts w:ascii="Times New Roman" w:hAnsi="Times New Roman"/>
          <w:color w:val="000000"/>
          <w:sz w:val="24"/>
          <w:szCs w:val="24"/>
        </w:rPr>
        <w:t>a</w:t>
      </w:r>
      <w:r w:rsidR="004F0DA7" w:rsidRPr="008C260A">
        <w:rPr>
          <w:rFonts w:ascii="Times New Roman" w:hAnsi="Times New Roman"/>
          <w:color w:val="000000"/>
          <w:sz w:val="24"/>
          <w:szCs w:val="24"/>
        </w:rPr>
        <w:t>nd</w:t>
      </w:r>
      <w:proofErr w:type="gramEnd"/>
    </w:p>
    <w:tbl>
      <w:tblPr>
        <w:tblW w:w="15831" w:type="dxa"/>
        <w:tblInd w:w="-108" w:type="dxa"/>
        <w:tblLook w:val="04A0" w:firstRow="1" w:lastRow="0" w:firstColumn="1" w:lastColumn="0" w:noHBand="0" w:noVBand="1"/>
      </w:tblPr>
      <w:tblGrid>
        <w:gridCol w:w="15347"/>
        <w:gridCol w:w="484"/>
      </w:tblGrid>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Academy of Spinal Cord Injury Professionals</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ACCSES</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Aging Life Care Association</w:t>
            </w:r>
          </w:p>
        </w:tc>
      </w:tr>
      <w:tr w:rsidR="004F0DA7"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color w:val="000000"/>
                <w:sz w:val="24"/>
                <w:szCs w:val="24"/>
              </w:rPr>
            </w:pPr>
            <w:r w:rsidRPr="008C260A">
              <w:rPr>
                <w:rFonts w:ascii="Times New Roman" w:eastAsia="Times New Roman" w:hAnsi="Times New Roman"/>
                <w:color w:val="000000"/>
                <w:sz w:val="24"/>
                <w:szCs w:val="24"/>
              </w:rPr>
              <w:t>Alliance for Retired Americans</w:t>
            </w:r>
          </w:p>
        </w:tc>
      </w:tr>
      <w:tr w:rsidR="004F0DA7"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color w:val="000000"/>
                <w:sz w:val="24"/>
                <w:szCs w:val="24"/>
              </w:rPr>
            </w:pPr>
            <w:r w:rsidRPr="008C260A">
              <w:rPr>
                <w:rFonts w:ascii="Times New Roman" w:eastAsia="Times New Roman" w:hAnsi="Times New Roman"/>
                <w:color w:val="000000"/>
                <w:sz w:val="24"/>
                <w:szCs w:val="24"/>
              </w:rPr>
              <w:t>ALS Association</w:t>
            </w:r>
          </w:p>
        </w:tc>
      </w:tr>
      <w:tr w:rsidR="004F0DA7"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color w:val="000000"/>
                <w:sz w:val="24"/>
                <w:szCs w:val="24"/>
              </w:rPr>
            </w:pPr>
            <w:r w:rsidRPr="008C260A">
              <w:rPr>
                <w:rFonts w:ascii="Times New Roman" w:eastAsia="Times New Roman" w:hAnsi="Times New Roman"/>
                <w:color w:val="000000"/>
                <w:sz w:val="24"/>
                <w:szCs w:val="24"/>
              </w:rPr>
              <w:t>ALS of Michigan</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American Association on Health &amp; Disability</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American Congress of Rehabilitation Medicine</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American Council of the Blind</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American Occupational Therapy Association</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American Society on Aging</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C66ACD">
            <w:pPr>
              <w:rPr>
                <w:rFonts w:ascii="Times New Roman" w:eastAsia="Times New Roman" w:hAnsi="Times New Roman"/>
                <w:sz w:val="24"/>
                <w:szCs w:val="24"/>
              </w:rPr>
            </w:pPr>
            <w:r w:rsidRPr="008C260A">
              <w:rPr>
                <w:rFonts w:ascii="Times New Roman" w:eastAsia="Times New Roman" w:hAnsi="Times New Roman"/>
                <w:sz w:val="24"/>
                <w:szCs w:val="24"/>
              </w:rPr>
              <w:t>American Speech</w:t>
            </w:r>
            <w:r w:rsidR="00C66ACD">
              <w:rPr>
                <w:rFonts w:ascii="Times New Roman" w:eastAsia="Times New Roman" w:hAnsi="Times New Roman"/>
                <w:sz w:val="24"/>
                <w:szCs w:val="24"/>
              </w:rPr>
              <w:t>-Language</w:t>
            </w:r>
            <w:r w:rsidRPr="008C260A">
              <w:rPr>
                <w:rFonts w:ascii="Times New Roman" w:eastAsia="Times New Roman" w:hAnsi="Times New Roman"/>
                <w:sz w:val="24"/>
                <w:szCs w:val="24"/>
              </w:rPr>
              <w:t xml:space="preserve"> Hearing Association</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American Therapeutic Recreation Association</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Answer ALS Foundation</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Assistive Technology Industry Association</w:t>
            </w:r>
          </w:p>
        </w:tc>
      </w:tr>
      <w:tr w:rsidR="004F0DA7"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color w:val="000000"/>
                <w:sz w:val="24"/>
                <w:szCs w:val="24"/>
              </w:rPr>
            </w:pPr>
            <w:r w:rsidRPr="008C260A">
              <w:rPr>
                <w:rFonts w:ascii="Times New Roman" w:eastAsia="Times New Roman" w:hAnsi="Times New Roman"/>
                <w:color w:val="000000"/>
                <w:sz w:val="24"/>
                <w:szCs w:val="24"/>
              </w:rPr>
              <w:t xml:space="preserve">Assistive Technology Law Center </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Association of Assistive Technology</w:t>
            </w:r>
          </w:p>
        </w:tc>
      </w:tr>
      <w:tr w:rsidR="004F0DA7"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color w:val="000000"/>
                <w:sz w:val="24"/>
                <w:szCs w:val="24"/>
              </w:rPr>
            </w:pPr>
            <w:r w:rsidRPr="008C260A">
              <w:rPr>
                <w:rFonts w:ascii="Times New Roman" w:eastAsia="Times New Roman" w:hAnsi="Times New Roman"/>
                <w:color w:val="000000"/>
                <w:sz w:val="24"/>
                <w:szCs w:val="24"/>
              </w:rPr>
              <w:t>Association of University Centers on Disabilities</w:t>
            </w:r>
          </w:p>
        </w:tc>
      </w:tr>
      <w:tr w:rsidR="004F0DA7"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4F0DA7" w:rsidRPr="008C260A" w:rsidRDefault="004F0DA7" w:rsidP="004F0DA7">
            <w:pPr>
              <w:rPr>
                <w:rFonts w:ascii="Times New Roman" w:eastAsia="Times New Roman" w:hAnsi="Times New Roman"/>
                <w:sz w:val="24"/>
                <w:szCs w:val="24"/>
              </w:rPr>
            </w:pPr>
            <w:r w:rsidRPr="008C260A">
              <w:rPr>
                <w:rFonts w:ascii="Times New Roman" w:eastAsia="Times New Roman" w:hAnsi="Times New Roman"/>
                <w:sz w:val="24"/>
                <w:szCs w:val="24"/>
              </w:rPr>
              <w:t>Autistic Self Advocacy Network</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Brain Injury Association of America</w:t>
            </w:r>
          </w:p>
        </w:tc>
      </w:tr>
      <w:tr w:rsidR="00083569" w:rsidRPr="008C260A" w:rsidTr="00083569">
        <w:trPr>
          <w:gridAfter w:val="1"/>
          <w:wAfter w:w="484" w:type="dxa"/>
          <w:trHeight w:val="300"/>
        </w:trPr>
        <w:tc>
          <w:tcPr>
            <w:tcW w:w="15347" w:type="dxa"/>
            <w:tcBorders>
              <w:top w:val="nil"/>
              <w:left w:val="nil"/>
              <w:bottom w:val="nil"/>
              <w:right w:val="nil"/>
            </w:tcBorders>
            <w:shd w:val="clear" w:color="auto" w:fill="auto"/>
            <w:noWrap/>
            <w:vAlign w:val="bottom"/>
          </w:tcPr>
          <w:p w:rsidR="00083569" w:rsidRPr="008C260A" w:rsidRDefault="00083569" w:rsidP="00083569">
            <w:pPr>
              <w:rPr>
                <w:rFonts w:ascii="Times New Roman" w:eastAsia="Times New Roman" w:hAnsi="Times New Roman"/>
                <w:sz w:val="24"/>
                <w:szCs w:val="24"/>
              </w:rPr>
            </w:pP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lastRenderedPageBreak/>
              <w:t>California Health Advocates</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Center for Medicare Advocacy</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Cerebral Palsy Association of Nassau County</w:t>
            </w:r>
          </w:p>
        </w:tc>
      </w:tr>
      <w:tr w:rsidR="00083569"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color w:val="000000"/>
                <w:sz w:val="24"/>
                <w:szCs w:val="24"/>
              </w:rPr>
            </w:pPr>
            <w:r w:rsidRPr="008C260A">
              <w:rPr>
                <w:rFonts w:ascii="Times New Roman" w:eastAsia="Times New Roman" w:hAnsi="Times New Roman"/>
                <w:color w:val="000000"/>
                <w:sz w:val="24"/>
                <w:szCs w:val="24"/>
              </w:rPr>
              <w:t xml:space="preserve">Cerebral Palsy Associations of New York State </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Christopher and Dana Reeve Foundation</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Clinician Task Force</w:t>
            </w:r>
          </w:p>
        </w:tc>
      </w:tr>
      <w:tr w:rsidR="00083569"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Colorado Cross-Disability Coalition</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Compassionate Care ALS</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Disability Law Project of Vermont Legal Aid</w:t>
            </w:r>
          </w:p>
        </w:tc>
      </w:tr>
      <w:tr w:rsidR="00083569"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color w:val="000000"/>
                <w:sz w:val="24"/>
                <w:szCs w:val="24"/>
              </w:rPr>
            </w:pPr>
            <w:r w:rsidRPr="008C260A">
              <w:rPr>
                <w:rFonts w:ascii="Times New Roman" w:eastAsia="Times New Roman" w:hAnsi="Times New Roman"/>
                <w:color w:val="000000"/>
                <w:sz w:val="24"/>
                <w:szCs w:val="24"/>
              </w:rPr>
              <w:t>Disability Policy Consortium of Massachusetts</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Disability Rights Oregon</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proofErr w:type="spellStart"/>
            <w:r w:rsidRPr="008C260A">
              <w:rPr>
                <w:rFonts w:ascii="Times New Roman" w:eastAsia="Times New Roman" w:hAnsi="Times New Roman"/>
                <w:sz w:val="24"/>
                <w:szCs w:val="24"/>
              </w:rPr>
              <w:t>Easterseals</w:t>
            </w:r>
            <w:proofErr w:type="spellEnd"/>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Girl Power 2 Cure</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Justice in Aging</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Lakeshore Foundation</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 xml:space="preserve">Legal </w:t>
            </w:r>
            <w:proofErr w:type="spellStart"/>
            <w:r w:rsidRPr="008C260A">
              <w:rPr>
                <w:rFonts w:ascii="Times New Roman" w:eastAsia="Times New Roman" w:hAnsi="Times New Roman"/>
                <w:sz w:val="24"/>
                <w:szCs w:val="24"/>
              </w:rPr>
              <w:t>Council</w:t>
            </w:r>
            <w:proofErr w:type="spellEnd"/>
            <w:r w:rsidRPr="008C260A">
              <w:rPr>
                <w:rFonts w:ascii="Times New Roman" w:eastAsia="Times New Roman" w:hAnsi="Times New Roman"/>
                <w:sz w:val="24"/>
                <w:szCs w:val="24"/>
              </w:rPr>
              <w:t xml:space="preserve"> for Health Justice</w:t>
            </w:r>
          </w:p>
        </w:tc>
      </w:tr>
      <w:tr w:rsidR="00083569"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color w:val="000000"/>
                <w:sz w:val="24"/>
                <w:szCs w:val="24"/>
              </w:rPr>
            </w:pPr>
            <w:r w:rsidRPr="008C260A">
              <w:rPr>
                <w:rFonts w:ascii="Times New Roman" w:eastAsia="Times New Roman" w:hAnsi="Times New Roman"/>
                <w:color w:val="000000"/>
                <w:sz w:val="24"/>
                <w:szCs w:val="24"/>
              </w:rPr>
              <w:t xml:space="preserve">Long Term Care Community Coalition </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Medicare Rights Center</w:t>
            </w:r>
          </w:p>
        </w:tc>
      </w:tr>
      <w:tr w:rsidR="00083569"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 xml:space="preserve">National Association for Home Care and Hospice </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National Association of Elder Law Attorneys</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National Association of State Head Injury Administrators</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National Coalition for Assistive and Rehab Technology</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National Committee to Preserve Social Security and Medicare</w:t>
            </w:r>
          </w:p>
        </w:tc>
      </w:tr>
      <w:tr w:rsidR="00083569"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color w:val="000000"/>
                <w:sz w:val="24"/>
                <w:szCs w:val="24"/>
              </w:rPr>
            </w:pPr>
            <w:r w:rsidRPr="008C260A">
              <w:rPr>
                <w:rFonts w:ascii="Times New Roman" w:eastAsia="Times New Roman" w:hAnsi="Times New Roman"/>
                <w:color w:val="000000"/>
                <w:sz w:val="24"/>
                <w:szCs w:val="24"/>
              </w:rPr>
              <w:t>National Consumer Voice for Quality Long-Term Care</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National Disability Rights Network</w:t>
            </w:r>
          </w:p>
        </w:tc>
      </w:tr>
      <w:tr w:rsidR="00083569"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color w:val="000000"/>
                <w:sz w:val="24"/>
                <w:szCs w:val="24"/>
              </w:rPr>
            </w:pPr>
            <w:r w:rsidRPr="008C260A">
              <w:rPr>
                <w:rFonts w:ascii="Times New Roman" w:eastAsia="Times New Roman" w:hAnsi="Times New Roman"/>
                <w:color w:val="000000"/>
                <w:sz w:val="24"/>
                <w:szCs w:val="24"/>
              </w:rPr>
              <w:t xml:space="preserve">National Health Law Program </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National MS Society</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Northwest Health Law Advocates</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Not Dead Yet</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Perkins School for the Blind</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Public Justice Center, Baltimore, Maryland</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 xml:space="preserve">Rehabilitation Engineering and Assistive Technology Society </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proofErr w:type="spellStart"/>
            <w:r w:rsidRPr="008C260A">
              <w:rPr>
                <w:rFonts w:ascii="Times New Roman" w:eastAsia="Times New Roman" w:hAnsi="Times New Roman"/>
                <w:sz w:val="24"/>
                <w:szCs w:val="24"/>
              </w:rPr>
              <w:t>Smartbox</w:t>
            </w:r>
            <w:proofErr w:type="spellEnd"/>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Southern Disability Law Center</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Special Needs Alliance</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Talk To Me Technologies</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Team Gleason</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The ARC of the United States</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The Michael J. Fox Foundation for Parkinson's Research</w:t>
            </w:r>
          </w:p>
        </w:tc>
      </w:tr>
      <w:tr w:rsidR="00083569" w:rsidRPr="008C260A" w:rsidTr="00FA467E">
        <w:trPr>
          <w:gridAfter w:val="1"/>
          <w:wAfter w:w="484" w:type="dxa"/>
          <w:trHeight w:val="315"/>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proofErr w:type="spellStart"/>
            <w:r w:rsidRPr="008C260A">
              <w:rPr>
                <w:rFonts w:ascii="Times New Roman" w:eastAsia="Times New Roman" w:hAnsi="Times New Roman"/>
                <w:sz w:val="24"/>
                <w:szCs w:val="24"/>
              </w:rPr>
              <w:t>Tobii</w:t>
            </w:r>
            <w:proofErr w:type="spellEnd"/>
            <w:r w:rsidRPr="008C260A">
              <w:rPr>
                <w:rFonts w:ascii="Times New Roman" w:eastAsia="Times New Roman" w:hAnsi="Times New Roman"/>
                <w:sz w:val="24"/>
                <w:szCs w:val="24"/>
              </w:rPr>
              <w:t xml:space="preserve"> </w:t>
            </w:r>
            <w:proofErr w:type="spellStart"/>
            <w:r w:rsidRPr="008C260A">
              <w:rPr>
                <w:rFonts w:ascii="Times New Roman" w:eastAsia="Times New Roman" w:hAnsi="Times New Roman"/>
                <w:sz w:val="24"/>
                <w:szCs w:val="24"/>
              </w:rPr>
              <w:t>DynaVox</w:t>
            </w:r>
            <w:proofErr w:type="spellEnd"/>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United Cerebral Palsy</w:t>
            </w:r>
          </w:p>
        </w:tc>
      </w:tr>
      <w:tr w:rsidR="00083569" w:rsidRPr="008C260A" w:rsidTr="00FA467E">
        <w:trPr>
          <w:gridAfter w:val="1"/>
          <w:wAfter w:w="484" w:type="dxa"/>
          <w:trHeight w:val="300"/>
        </w:trPr>
        <w:tc>
          <w:tcPr>
            <w:tcW w:w="15347"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 xml:space="preserve">United Spinal Association </w:t>
            </w:r>
          </w:p>
        </w:tc>
      </w:tr>
      <w:tr w:rsidR="00083569" w:rsidRPr="008C260A" w:rsidTr="00FA467E">
        <w:trPr>
          <w:trHeight w:val="300"/>
        </w:trPr>
        <w:tc>
          <w:tcPr>
            <w:tcW w:w="15831" w:type="dxa"/>
            <w:gridSpan w:val="2"/>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lastRenderedPageBreak/>
              <w:t>United States Society for Augmentative and Alternative Communication</w:t>
            </w:r>
          </w:p>
        </w:tc>
      </w:tr>
      <w:tr w:rsidR="00083569" w:rsidRPr="008C260A" w:rsidTr="00FA467E">
        <w:trPr>
          <w:trHeight w:val="300"/>
        </w:trPr>
        <w:tc>
          <w:tcPr>
            <w:tcW w:w="15831" w:type="dxa"/>
            <w:gridSpan w:val="2"/>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Volunteers of Legal Service</w:t>
            </w:r>
          </w:p>
        </w:tc>
      </w:tr>
      <w:tr w:rsidR="00083569" w:rsidRPr="008C260A" w:rsidTr="00FA467E">
        <w:trPr>
          <w:trHeight w:val="300"/>
        </w:trPr>
        <w:tc>
          <w:tcPr>
            <w:tcW w:w="15831" w:type="dxa"/>
            <w:gridSpan w:val="2"/>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 xml:space="preserve">Women's Institute for a Secure Retirement </w:t>
            </w:r>
          </w:p>
          <w:p w:rsidR="00083569" w:rsidRDefault="00083569" w:rsidP="00083569">
            <w:pPr>
              <w:rPr>
                <w:rFonts w:ascii="Times New Roman" w:eastAsia="Times New Roman" w:hAnsi="Times New Roman"/>
                <w:sz w:val="24"/>
                <w:szCs w:val="24"/>
              </w:rPr>
            </w:pPr>
          </w:p>
          <w:p w:rsidR="00083569" w:rsidRDefault="00083569" w:rsidP="00083569">
            <w:pPr>
              <w:rPr>
                <w:rFonts w:ascii="Times New Roman" w:eastAsia="Times New Roman" w:hAnsi="Times New Roman"/>
                <w:sz w:val="24"/>
                <w:szCs w:val="24"/>
              </w:rPr>
            </w:pPr>
          </w:p>
          <w:p w:rsidR="00083569" w:rsidRPr="008C260A" w:rsidRDefault="00083569" w:rsidP="00083569">
            <w:pPr>
              <w:rPr>
                <w:rFonts w:ascii="Times New Roman" w:eastAsia="Times New Roman" w:hAnsi="Times New Roman"/>
                <w:sz w:val="24"/>
                <w:szCs w:val="24"/>
              </w:rPr>
            </w:pPr>
            <w:bookmarkStart w:id="0" w:name="_GoBack"/>
            <w:bookmarkEnd w:id="0"/>
          </w:p>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Professionals:</w:t>
            </w:r>
          </w:p>
          <w:tbl>
            <w:tblPr>
              <w:tblW w:w="15615" w:type="dxa"/>
              <w:tblLook w:val="04A0" w:firstRow="1" w:lastRow="0" w:firstColumn="1" w:lastColumn="0" w:noHBand="0" w:noVBand="1"/>
            </w:tblPr>
            <w:tblGrid>
              <w:gridCol w:w="15615"/>
            </w:tblGrid>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083569" w:rsidRDefault="00083569" w:rsidP="00083569">
                  <w:pPr>
                    <w:rPr>
                      <w:rFonts w:ascii="Times New Roman" w:eastAsia="Times New Roman" w:hAnsi="Times New Roman"/>
                      <w:sz w:val="24"/>
                      <w:szCs w:val="24"/>
                    </w:rPr>
                  </w:pPr>
                  <w:r w:rsidRPr="00083569">
                    <w:rPr>
                      <w:rFonts w:ascii="Times New Roman" w:hAnsi="Times New Roman"/>
                      <w:sz w:val="24"/>
                      <w:szCs w:val="24"/>
                    </w:rPr>
                    <w:t>John M. Costello,  MA CCC-SLP</w:t>
                  </w:r>
                  <w:r w:rsidRPr="00083569">
                    <w:rPr>
                      <w:rFonts w:ascii="Times New Roman" w:hAnsi="Times New Roman"/>
                      <w:sz w:val="24"/>
                      <w:szCs w:val="24"/>
                    </w:rPr>
                    <w:t xml:space="preserve">, </w:t>
                  </w:r>
                  <w:r w:rsidRPr="00083569">
                    <w:rPr>
                      <w:rFonts w:ascii="Times New Roman" w:hAnsi="Times New Roman"/>
                      <w:sz w:val="24"/>
                      <w:szCs w:val="24"/>
                    </w:rPr>
                    <w:t>Boston Children’s Hospital Augmentative Communication Program</w:t>
                  </w:r>
                </w:p>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Betts Peters, MA, CCC</w:t>
                  </w:r>
                  <w:r>
                    <w:rPr>
                      <w:rFonts w:ascii="Times New Roman" w:eastAsia="Times New Roman" w:hAnsi="Times New Roman"/>
                      <w:sz w:val="24"/>
                      <w:szCs w:val="24"/>
                    </w:rPr>
                    <w:t>-</w:t>
                  </w:r>
                  <w:r w:rsidRPr="008C260A">
                    <w:rPr>
                      <w:rFonts w:ascii="Times New Roman" w:eastAsia="Times New Roman" w:hAnsi="Times New Roman"/>
                      <w:sz w:val="24"/>
                      <w:szCs w:val="24"/>
                    </w:rPr>
                    <w:t>SLP, Oregon Health &amp; Science University</w:t>
                  </w:r>
                </w:p>
              </w:tc>
            </w:tr>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Meher Banajee, Ph.D., CCC-SLP, Human Development Center, New Orleans, Louisiana</w:t>
                  </w:r>
                </w:p>
              </w:tc>
            </w:tr>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Lisa G. Bardach, MS CCC-SLP, ALS of Michigan</w:t>
                  </w:r>
                </w:p>
              </w:tc>
            </w:tr>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Melanie Fried-Oken, Ph.D., CCC/</w:t>
                  </w:r>
                  <w:proofErr w:type="spellStart"/>
                  <w:r w:rsidRPr="008C260A">
                    <w:rPr>
                      <w:rFonts w:ascii="Times New Roman" w:eastAsia="Times New Roman" w:hAnsi="Times New Roman"/>
                      <w:sz w:val="24"/>
                      <w:szCs w:val="24"/>
                    </w:rPr>
                    <w:t>Sp</w:t>
                  </w:r>
                  <w:proofErr w:type="spellEnd"/>
                  <w:r w:rsidRPr="008C260A">
                    <w:rPr>
                      <w:rFonts w:ascii="Times New Roman" w:eastAsia="Times New Roman" w:hAnsi="Times New Roman"/>
                      <w:sz w:val="24"/>
                      <w:szCs w:val="24"/>
                    </w:rPr>
                    <w:t>, Oregon Health &amp; Science University</w:t>
                  </w:r>
                </w:p>
              </w:tc>
            </w:tr>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Richard Hurtig, Ph.D., The University of Iowa</w:t>
                  </w:r>
                </w:p>
              </w:tc>
            </w:tr>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Laura J. Ball, PhD, CCC-SLP</w:t>
                  </w:r>
                </w:p>
              </w:tc>
            </w:tr>
            <w:tr w:rsidR="00083569" w:rsidRPr="008C260A" w:rsidTr="004F0DA7">
              <w:trPr>
                <w:trHeight w:val="315"/>
              </w:trPr>
              <w:tc>
                <w:tcPr>
                  <w:tcW w:w="15615" w:type="dxa"/>
                  <w:tcBorders>
                    <w:top w:val="nil"/>
                    <w:left w:val="nil"/>
                    <w:bottom w:val="nil"/>
                    <w:right w:val="nil"/>
                  </w:tcBorders>
                  <w:shd w:val="clear" w:color="auto" w:fill="auto"/>
                  <w:noWrap/>
                  <w:vAlign w:val="center"/>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 xml:space="preserve">Julie </w:t>
                  </w:r>
                  <w:proofErr w:type="spellStart"/>
                  <w:r w:rsidRPr="008C260A">
                    <w:rPr>
                      <w:rFonts w:ascii="Times New Roman" w:eastAsia="Times New Roman" w:hAnsi="Times New Roman"/>
                      <w:sz w:val="24"/>
                      <w:szCs w:val="24"/>
                    </w:rPr>
                    <w:t>Gamradt</w:t>
                  </w:r>
                  <w:proofErr w:type="spellEnd"/>
                  <w:r w:rsidRPr="008C260A">
                    <w:rPr>
                      <w:rFonts w:ascii="Times New Roman" w:eastAsia="Times New Roman" w:hAnsi="Times New Roman"/>
                      <w:sz w:val="24"/>
                      <w:szCs w:val="24"/>
                    </w:rPr>
                    <w:t xml:space="preserve">, MS, CCC-SLP, University of Wisconsin Health </w:t>
                  </w:r>
                  <w:proofErr w:type="spellStart"/>
                  <w:r w:rsidRPr="008C260A">
                    <w:rPr>
                      <w:rFonts w:ascii="Times New Roman" w:eastAsia="Times New Roman" w:hAnsi="Times New Roman"/>
                      <w:sz w:val="24"/>
                      <w:szCs w:val="24"/>
                    </w:rPr>
                    <w:t>Waisman</w:t>
                  </w:r>
                  <w:proofErr w:type="spellEnd"/>
                  <w:r w:rsidRPr="008C260A">
                    <w:rPr>
                      <w:rFonts w:ascii="Times New Roman" w:eastAsia="Times New Roman" w:hAnsi="Times New Roman"/>
                      <w:sz w:val="24"/>
                      <w:szCs w:val="24"/>
                    </w:rPr>
                    <w:t xml:space="preserve"> Center </w:t>
                  </w:r>
                </w:p>
              </w:tc>
            </w:tr>
            <w:tr w:rsidR="00083569" w:rsidRPr="008C260A" w:rsidTr="004F0DA7">
              <w:trPr>
                <w:trHeight w:val="315"/>
              </w:trPr>
              <w:tc>
                <w:tcPr>
                  <w:tcW w:w="15615" w:type="dxa"/>
                  <w:tcBorders>
                    <w:top w:val="nil"/>
                    <w:left w:val="nil"/>
                    <w:bottom w:val="nil"/>
                    <w:right w:val="nil"/>
                  </w:tcBorders>
                  <w:shd w:val="clear" w:color="auto" w:fill="auto"/>
                  <w:noWrap/>
                  <w:vAlign w:val="center"/>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Laurie Sterling, MS, CCC-SLP, BCS-S, Houston Methodist Hospital</w:t>
                  </w:r>
                </w:p>
              </w:tc>
            </w:tr>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 xml:space="preserve">Carolyn Wiles Higdon, </w:t>
                  </w:r>
                  <w:proofErr w:type="spellStart"/>
                  <w:r w:rsidRPr="008C260A">
                    <w:rPr>
                      <w:rFonts w:ascii="Times New Roman" w:eastAsia="Times New Roman" w:hAnsi="Times New Roman"/>
                      <w:sz w:val="24"/>
                      <w:szCs w:val="24"/>
                    </w:rPr>
                    <w:t>Ph.D</w:t>
                  </w:r>
                  <w:proofErr w:type="spellEnd"/>
                  <w:r w:rsidRPr="008C260A">
                    <w:rPr>
                      <w:rFonts w:ascii="Times New Roman" w:eastAsia="Times New Roman" w:hAnsi="Times New Roman"/>
                      <w:sz w:val="24"/>
                      <w:szCs w:val="24"/>
                    </w:rPr>
                    <w:t>, Wiles Higdon and Associates</w:t>
                  </w:r>
                </w:p>
              </w:tc>
            </w:tr>
            <w:tr w:rsidR="00083569" w:rsidRPr="008C260A" w:rsidTr="004F0DA7">
              <w:trPr>
                <w:trHeight w:val="315"/>
              </w:trPr>
              <w:tc>
                <w:tcPr>
                  <w:tcW w:w="15615" w:type="dxa"/>
                  <w:tcBorders>
                    <w:top w:val="nil"/>
                    <w:left w:val="nil"/>
                    <w:bottom w:val="nil"/>
                    <w:right w:val="nil"/>
                  </w:tcBorders>
                  <w:shd w:val="clear" w:color="auto" w:fill="auto"/>
                  <w:noWrap/>
                  <w:vAlign w:val="center"/>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David R. Beukelman, CCC-SLP</w:t>
                  </w:r>
                </w:p>
              </w:tc>
            </w:tr>
            <w:tr w:rsidR="00083569" w:rsidRPr="008C260A" w:rsidTr="004F0DA7">
              <w:trPr>
                <w:trHeight w:val="315"/>
              </w:trPr>
              <w:tc>
                <w:tcPr>
                  <w:tcW w:w="15615" w:type="dxa"/>
                  <w:tcBorders>
                    <w:top w:val="nil"/>
                    <w:left w:val="nil"/>
                    <w:bottom w:val="nil"/>
                    <w:right w:val="nil"/>
                  </w:tcBorders>
                  <w:shd w:val="clear" w:color="auto" w:fill="auto"/>
                  <w:noWrap/>
                  <w:vAlign w:val="center"/>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Sarah W. Blackstone, Ph.D., CCC-SLP, National Deafness and Other Communication Disorders</w:t>
                  </w:r>
                </w:p>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 xml:space="preserve">  Advisory Council, Augmentative Communication </w:t>
                  </w:r>
                </w:p>
              </w:tc>
            </w:tr>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Julie Irwin, M.S.,CCC-SLP, ATP</w:t>
                  </w:r>
                </w:p>
              </w:tc>
            </w:tr>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Emilie Carmel F. Caga-anan, MS CCC-SLP, University of Washington Medical Center</w:t>
                  </w:r>
                </w:p>
              </w:tc>
            </w:tr>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083569" w:rsidRDefault="00083569" w:rsidP="00083569">
                  <w:pPr>
                    <w:rPr>
                      <w:rFonts w:ascii="Times New Roman" w:eastAsia="Times New Roman" w:hAnsi="Times New Roman"/>
                      <w:sz w:val="24"/>
                      <w:szCs w:val="24"/>
                    </w:rPr>
                  </w:pPr>
                  <w:r w:rsidRPr="00083569">
                    <w:rPr>
                      <w:rFonts w:ascii="Times New Roman" w:hAnsi="Times New Roman"/>
                      <w:sz w:val="24"/>
                      <w:szCs w:val="24"/>
                    </w:rPr>
                    <w:t>Joni Nygard, MS CCC-SLP   Attainment Company</w:t>
                  </w:r>
                </w:p>
              </w:tc>
            </w:tr>
            <w:tr w:rsidR="00083569" w:rsidRPr="008C260A" w:rsidTr="004F0DA7">
              <w:trPr>
                <w:trHeight w:val="315"/>
              </w:trPr>
              <w:tc>
                <w:tcPr>
                  <w:tcW w:w="15615" w:type="dxa"/>
                  <w:tcBorders>
                    <w:top w:val="nil"/>
                    <w:left w:val="nil"/>
                    <w:bottom w:val="nil"/>
                    <w:right w:val="nil"/>
                  </w:tcBorders>
                  <w:shd w:val="clear" w:color="auto" w:fill="auto"/>
                  <w:noWrap/>
                  <w:vAlign w:val="bottom"/>
                  <w:hideMark/>
                </w:tcPr>
                <w:p w:rsidR="00083569" w:rsidRPr="008C260A" w:rsidRDefault="00083569" w:rsidP="00083569">
                  <w:pPr>
                    <w:rPr>
                      <w:rFonts w:ascii="Times New Roman" w:eastAsia="Times New Roman" w:hAnsi="Times New Roman"/>
                      <w:sz w:val="24"/>
                      <w:szCs w:val="24"/>
                    </w:rPr>
                  </w:pPr>
                  <w:r w:rsidRPr="008C260A">
                    <w:rPr>
                      <w:rFonts w:ascii="Times New Roman" w:eastAsia="Times New Roman" w:hAnsi="Times New Roman"/>
                      <w:sz w:val="24"/>
                      <w:szCs w:val="24"/>
                    </w:rPr>
                    <w:t>Amy Roman, MS, CCC-SLP</w:t>
                  </w:r>
                </w:p>
              </w:tc>
            </w:tr>
          </w:tbl>
          <w:p w:rsidR="00083569" w:rsidRPr="008C260A" w:rsidRDefault="00083569" w:rsidP="00083569">
            <w:pPr>
              <w:rPr>
                <w:rFonts w:ascii="Times New Roman" w:eastAsia="Times New Roman" w:hAnsi="Times New Roman"/>
                <w:sz w:val="24"/>
                <w:szCs w:val="24"/>
              </w:rPr>
            </w:pPr>
          </w:p>
        </w:tc>
      </w:tr>
    </w:tbl>
    <w:p w:rsidR="004F0DA7" w:rsidRDefault="004F0DA7" w:rsidP="00FA467E">
      <w:pPr>
        <w:rPr>
          <w:rFonts w:ascii="Times New Roman" w:hAnsi="Times New Roman"/>
          <w:color w:val="000000"/>
          <w:sz w:val="24"/>
          <w:szCs w:val="24"/>
        </w:rPr>
      </w:pPr>
    </w:p>
    <w:p w:rsidR="003F5BAD" w:rsidRDefault="0073305A"/>
    <w:sectPr w:rsidR="003F5B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FE" w:rsidRDefault="00C75CFE" w:rsidP="00C75CFE">
      <w:r>
        <w:separator/>
      </w:r>
    </w:p>
  </w:endnote>
  <w:endnote w:type="continuationSeparator" w:id="0">
    <w:p w:rsidR="00C75CFE" w:rsidRDefault="00C75CFE" w:rsidP="00C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34" w:rsidRDefault="00370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324043"/>
      <w:docPartObj>
        <w:docPartGallery w:val="Page Numbers (Bottom of Page)"/>
        <w:docPartUnique/>
      </w:docPartObj>
    </w:sdtPr>
    <w:sdtEndPr>
      <w:rPr>
        <w:noProof/>
      </w:rPr>
    </w:sdtEndPr>
    <w:sdtContent>
      <w:p w:rsidR="004F0DA7" w:rsidRDefault="004F0DA7">
        <w:pPr>
          <w:pStyle w:val="Footer"/>
          <w:jc w:val="center"/>
        </w:pPr>
        <w:r>
          <w:fldChar w:fldCharType="begin"/>
        </w:r>
        <w:r>
          <w:instrText xml:space="preserve"> PAGE   \* MERGEFORMAT </w:instrText>
        </w:r>
        <w:r>
          <w:fldChar w:fldCharType="separate"/>
        </w:r>
        <w:r w:rsidR="0073305A">
          <w:rPr>
            <w:noProof/>
          </w:rPr>
          <w:t>1</w:t>
        </w:r>
        <w:r>
          <w:rPr>
            <w:noProof/>
          </w:rPr>
          <w:fldChar w:fldCharType="end"/>
        </w:r>
      </w:p>
    </w:sdtContent>
  </w:sdt>
  <w:p w:rsidR="00C75CFE" w:rsidRDefault="00C75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34" w:rsidRDefault="00370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FE" w:rsidRDefault="00C75CFE" w:rsidP="00C75CFE">
      <w:r>
        <w:separator/>
      </w:r>
    </w:p>
  </w:footnote>
  <w:footnote w:type="continuationSeparator" w:id="0">
    <w:p w:rsidR="00C75CFE" w:rsidRDefault="00C75CFE" w:rsidP="00C75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34" w:rsidRDefault="00370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34" w:rsidRDefault="00370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534" w:rsidRDefault="00370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C3"/>
    <w:rsid w:val="00083569"/>
    <w:rsid w:val="00370534"/>
    <w:rsid w:val="004F0DA7"/>
    <w:rsid w:val="005A37A3"/>
    <w:rsid w:val="007267C3"/>
    <w:rsid w:val="0073305A"/>
    <w:rsid w:val="007E6C41"/>
    <w:rsid w:val="008C260A"/>
    <w:rsid w:val="0090345E"/>
    <w:rsid w:val="00B23593"/>
    <w:rsid w:val="00C66ACD"/>
    <w:rsid w:val="00C75CFE"/>
    <w:rsid w:val="00DE30D0"/>
    <w:rsid w:val="00FA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26FBB-E55D-4F90-9ACF-0BE9F602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7C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FE"/>
    <w:pPr>
      <w:tabs>
        <w:tab w:val="center" w:pos="4680"/>
        <w:tab w:val="right" w:pos="9360"/>
      </w:tabs>
    </w:pPr>
  </w:style>
  <w:style w:type="character" w:customStyle="1" w:styleId="HeaderChar">
    <w:name w:val="Header Char"/>
    <w:basedOn w:val="DefaultParagraphFont"/>
    <w:link w:val="Header"/>
    <w:uiPriority w:val="99"/>
    <w:rsid w:val="00C75CFE"/>
    <w:rPr>
      <w:rFonts w:ascii="Calibri" w:eastAsia="Calibri" w:hAnsi="Calibri" w:cs="Times New Roman"/>
    </w:rPr>
  </w:style>
  <w:style w:type="paragraph" w:styleId="Footer">
    <w:name w:val="footer"/>
    <w:basedOn w:val="Normal"/>
    <w:link w:val="FooterChar"/>
    <w:uiPriority w:val="99"/>
    <w:unhideWhenUsed/>
    <w:rsid w:val="00C75CFE"/>
    <w:pPr>
      <w:tabs>
        <w:tab w:val="center" w:pos="4680"/>
        <w:tab w:val="right" w:pos="9360"/>
      </w:tabs>
    </w:pPr>
  </w:style>
  <w:style w:type="character" w:customStyle="1" w:styleId="FooterChar">
    <w:name w:val="Footer Char"/>
    <w:basedOn w:val="DefaultParagraphFont"/>
    <w:link w:val="Footer"/>
    <w:uiPriority w:val="99"/>
    <w:rsid w:val="00C75CFE"/>
    <w:rPr>
      <w:rFonts w:ascii="Calibri" w:eastAsia="Calibri" w:hAnsi="Calibri" w:cs="Times New Roman"/>
    </w:rPr>
  </w:style>
  <w:style w:type="character" w:styleId="Hyperlink">
    <w:name w:val="Hyperlink"/>
    <w:basedOn w:val="DefaultParagraphFont"/>
    <w:uiPriority w:val="99"/>
    <w:unhideWhenUsed/>
    <w:rsid w:val="004F0DA7"/>
    <w:rPr>
      <w:color w:val="0563C1" w:themeColor="hyperlink"/>
      <w:u w:val="single"/>
    </w:rPr>
  </w:style>
  <w:style w:type="paragraph" w:styleId="BalloonText">
    <w:name w:val="Balloon Text"/>
    <w:basedOn w:val="Normal"/>
    <w:link w:val="BalloonTextChar"/>
    <w:uiPriority w:val="99"/>
    <w:semiHidden/>
    <w:unhideWhenUsed/>
    <w:rsid w:val="00FA4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6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47260">
      <w:bodyDiv w:val="1"/>
      <w:marLeft w:val="0"/>
      <w:marRight w:val="0"/>
      <w:marTop w:val="0"/>
      <w:marBottom w:val="0"/>
      <w:divBdr>
        <w:top w:val="none" w:sz="0" w:space="0" w:color="auto"/>
        <w:left w:val="none" w:sz="0" w:space="0" w:color="auto"/>
        <w:bottom w:val="none" w:sz="0" w:space="0" w:color="auto"/>
        <w:right w:val="none" w:sz="0" w:space="0" w:color="auto"/>
      </w:divBdr>
    </w:div>
    <w:div w:id="6259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olt@MedicareAdvocacy.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977</Words>
  <Characters>5698</Characters>
  <Application>Microsoft Office Word</Application>
  <DocSecurity>0</DocSecurity>
  <PresentationFormat/>
  <Lines>152</Lines>
  <Paragraphs>102</Paragraphs>
  <ScaleCrop>false</ScaleCrop>
  <HeadingPairs>
    <vt:vector size="2" baseType="variant">
      <vt:variant>
        <vt:lpstr>Title</vt:lpstr>
      </vt:variant>
      <vt:variant>
        <vt:i4>1</vt:i4>
      </vt:variant>
    </vt:vector>
  </HeadingPairs>
  <TitlesOfParts>
    <vt:vector size="1" baseType="lpstr">
      <vt:lpstr>Medicare coverage for Speech Generating Device Sign-on letter  (00245642.DOCX;1)</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coverage for Speech Generating Device Sign-on letter  (00245642.DOCX;1)</dc:title>
  <dc:subject>00245642</dc:subject>
  <dc:creator>Kathleen Holt</dc:creator>
  <cp:keywords/>
  <dc:description/>
  <cp:lastModifiedBy>Kathleen Holt</cp:lastModifiedBy>
  <cp:revision>11</cp:revision>
  <cp:lastPrinted>2017-04-28T15:52:00Z</cp:lastPrinted>
  <dcterms:created xsi:type="dcterms:W3CDTF">2017-04-11T16:03:00Z</dcterms:created>
  <dcterms:modified xsi:type="dcterms:W3CDTF">2017-04-28T19:40:00Z</dcterms:modified>
</cp:coreProperties>
</file>