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04" w:rsidRDefault="00571804" w:rsidP="00571804">
      <w:pPr>
        <w:spacing w:after="240"/>
        <w:jc w:val="center"/>
        <w:rPr>
          <w:rFonts w:asciiTheme="majorHAnsi" w:hAnsiTheme="majorHAnsi"/>
          <w:b/>
          <w:bCs/>
          <w:color w:val="0000FF"/>
          <w:sz w:val="28"/>
          <w:szCs w:val="28"/>
        </w:rPr>
      </w:pPr>
      <w:r w:rsidRPr="00571804">
        <w:rPr>
          <w:rFonts w:asciiTheme="majorHAnsi" w:hAnsiTheme="majorHAnsi"/>
          <w:b/>
          <w:bCs/>
          <w:noProof/>
          <w:color w:val="0000FF"/>
          <w:sz w:val="28"/>
          <w:szCs w:val="28"/>
        </w:rPr>
        <w:drawing>
          <wp:inline distT="0" distB="0" distL="0" distR="0">
            <wp:extent cx="3171825" cy="1132050"/>
            <wp:effectExtent l="19050" t="0" r="9525" b="0"/>
            <wp:docPr id="3" name="Picture 2" descr="P:\Logos Various Formats\_FINAL_AUCD_LOGOS\Logos for MSWord and PowerPoint Docs\aucd_col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Various Formats\_FINAL_AUCD_LOGOS\Logos for MSWord and PowerPoint Docs\aucd_color.gif.gif"/>
                    <pic:cNvPicPr>
                      <a:picLocks noChangeAspect="1" noChangeArrowheads="1"/>
                    </pic:cNvPicPr>
                  </pic:nvPicPr>
                  <pic:blipFill>
                    <a:blip r:embed="rId5" cstate="print"/>
                    <a:srcRect/>
                    <a:stretch>
                      <a:fillRect/>
                    </a:stretch>
                  </pic:blipFill>
                  <pic:spPr bwMode="auto">
                    <a:xfrm>
                      <a:off x="0" y="0"/>
                      <a:ext cx="3171825" cy="1132050"/>
                    </a:xfrm>
                    <a:prstGeom prst="rect">
                      <a:avLst/>
                    </a:prstGeom>
                    <a:noFill/>
                    <a:ln w="9525">
                      <a:noFill/>
                      <a:miter lim="800000"/>
                      <a:headEnd/>
                      <a:tailEnd/>
                    </a:ln>
                  </pic:spPr>
                </pic:pic>
              </a:graphicData>
            </a:graphic>
          </wp:inline>
        </w:drawing>
      </w:r>
    </w:p>
    <w:p w:rsidR="00095D5C" w:rsidRPr="00095D5C" w:rsidRDefault="00C92504" w:rsidP="00571804">
      <w:pPr>
        <w:ind w:left="120" w:firstLine="600"/>
        <w:jc w:val="center"/>
        <w:rPr>
          <w:rFonts w:asciiTheme="majorHAnsi" w:hAnsiTheme="majorHAnsi" w:cs="Arial"/>
          <w:b/>
          <w:color w:val="C00000"/>
          <w:sz w:val="32"/>
          <w:szCs w:val="28"/>
        </w:rPr>
      </w:pPr>
      <w:r w:rsidRPr="00095D5C">
        <w:rPr>
          <w:rFonts w:asciiTheme="majorHAnsi" w:hAnsiTheme="majorHAnsi" w:cs="Arial"/>
          <w:b/>
          <w:color w:val="C00000"/>
          <w:sz w:val="32"/>
          <w:szCs w:val="28"/>
        </w:rPr>
        <w:t>Autism CARES Act Funding Alert</w:t>
      </w:r>
    </w:p>
    <w:p w:rsidR="00571804" w:rsidRPr="00095D5C" w:rsidRDefault="00095D5C" w:rsidP="00571804">
      <w:pPr>
        <w:ind w:left="120" w:firstLine="600"/>
        <w:jc w:val="center"/>
        <w:rPr>
          <w:rFonts w:asciiTheme="majorHAnsi" w:hAnsiTheme="majorHAnsi"/>
          <w:b/>
          <w:bCs/>
          <w:szCs w:val="28"/>
        </w:rPr>
      </w:pPr>
      <w:r w:rsidRPr="00095D5C">
        <w:rPr>
          <w:rFonts w:asciiTheme="majorHAnsi" w:hAnsiTheme="majorHAnsi" w:cs="Arial"/>
          <w:b/>
          <w:szCs w:val="28"/>
        </w:rPr>
        <w:t xml:space="preserve">June </w:t>
      </w:r>
      <w:r w:rsidR="003A1090">
        <w:rPr>
          <w:rFonts w:asciiTheme="majorHAnsi" w:hAnsiTheme="majorHAnsi" w:cs="Arial"/>
          <w:b/>
          <w:szCs w:val="28"/>
        </w:rPr>
        <w:t>12</w:t>
      </w:r>
      <w:r w:rsidRPr="00095D5C">
        <w:rPr>
          <w:rFonts w:asciiTheme="majorHAnsi" w:hAnsiTheme="majorHAnsi" w:cs="Arial"/>
          <w:b/>
          <w:szCs w:val="28"/>
        </w:rPr>
        <w:t>, 2017</w:t>
      </w:r>
      <w:r w:rsidR="001218A1" w:rsidRPr="00095D5C">
        <w:rPr>
          <w:rFonts w:asciiTheme="majorHAnsi" w:hAnsiTheme="majorHAnsi" w:cs="Arial"/>
          <w:b/>
          <w:szCs w:val="28"/>
        </w:rPr>
        <w:t xml:space="preserve"> </w:t>
      </w:r>
    </w:p>
    <w:p w:rsidR="00937673" w:rsidRPr="00095D5C" w:rsidRDefault="00937673" w:rsidP="00937673">
      <w:pPr>
        <w:rPr>
          <w:rFonts w:asciiTheme="minorHAnsi" w:hAnsiTheme="minorHAnsi"/>
          <w:b/>
          <w:u w:val="single"/>
        </w:rPr>
      </w:pPr>
      <w:r w:rsidRPr="00095D5C">
        <w:rPr>
          <w:rFonts w:asciiTheme="minorHAnsi" w:hAnsiTheme="minorHAnsi"/>
          <w:b/>
          <w:u w:val="single"/>
        </w:rPr>
        <w:t>SUMMARY:</w:t>
      </w:r>
    </w:p>
    <w:p w:rsidR="00A50F8C" w:rsidRDefault="00A50F8C" w:rsidP="00937673">
      <w:pPr>
        <w:rPr>
          <w:rFonts w:asciiTheme="minorHAnsi" w:hAnsiTheme="minorHAnsi"/>
        </w:rPr>
      </w:pPr>
      <w:r w:rsidRPr="00095D5C">
        <w:rPr>
          <w:rFonts w:asciiTheme="minorHAnsi" w:hAnsiTheme="minorHAnsi"/>
        </w:rPr>
        <w:t xml:space="preserve">The President’s FY 2018 </w:t>
      </w:r>
      <w:hyperlink r:id="rId6" w:history="1">
        <w:r w:rsidRPr="00095D5C">
          <w:rPr>
            <w:rStyle w:val="Hyperlink"/>
            <w:rFonts w:asciiTheme="minorHAnsi" w:hAnsiTheme="minorHAnsi"/>
          </w:rPr>
          <w:t>Budget Request</w:t>
        </w:r>
      </w:hyperlink>
      <w:r w:rsidR="008804E5">
        <w:rPr>
          <w:rFonts w:asciiTheme="minorHAnsi" w:hAnsiTheme="minorHAnsi"/>
        </w:rPr>
        <w:t xml:space="preserve"> </w:t>
      </w:r>
      <w:r w:rsidR="006E6F19">
        <w:rPr>
          <w:rFonts w:asciiTheme="minorHAnsi" w:hAnsiTheme="minorHAnsi"/>
        </w:rPr>
        <w:t>eliminates</w:t>
      </w:r>
      <w:r w:rsidR="008804E5">
        <w:rPr>
          <w:rFonts w:asciiTheme="minorHAnsi" w:hAnsiTheme="minorHAnsi"/>
        </w:rPr>
        <w:t xml:space="preserve"> funding for</w:t>
      </w:r>
      <w:r w:rsidRPr="00095D5C">
        <w:rPr>
          <w:rFonts w:asciiTheme="minorHAnsi" w:hAnsiTheme="minorHAnsi"/>
        </w:rPr>
        <w:t xml:space="preserve"> the </w:t>
      </w:r>
      <w:r w:rsidR="006E6F19">
        <w:rPr>
          <w:rFonts w:asciiTheme="minorHAnsi" w:hAnsiTheme="minorHAnsi"/>
        </w:rPr>
        <w:t>Health Resources Services Administration (</w:t>
      </w:r>
      <w:r w:rsidR="00095D5C">
        <w:rPr>
          <w:rFonts w:asciiTheme="minorHAnsi" w:hAnsiTheme="minorHAnsi"/>
        </w:rPr>
        <w:t>HRSA</w:t>
      </w:r>
      <w:r w:rsidR="006E6F19">
        <w:rPr>
          <w:rFonts w:asciiTheme="minorHAnsi" w:hAnsiTheme="minorHAnsi"/>
        </w:rPr>
        <w:t>)</w:t>
      </w:r>
      <w:r w:rsidR="00095D5C">
        <w:rPr>
          <w:rFonts w:asciiTheme="minorHAnsi" w:hAnsiTheme="minorHAnsi"/>
        </w:rPr>
        <w:t xml:space="preserve"> </w:t>
      </w:r>
      <w:r w:rsidRPr="00095D5C">
        <w:rPr>
          <w:rFonts w:asciiTheme="minorHAnsi" w:hAnsiTheme="minorHAnsi"/>
        </w:rPr>
        <w:t>Autism CARES Act programs</w:t>
      </w:r>
      <w:r w:rsidR="006E6F19">
        <w:rPr>
          <w:rFonts w:asciiTheme="minorHAnsi" w:hAnsiTheme="minorHAnsi"/>
        </w:rPr>
        <w:t>.</w:t>
      </w:r>
      <w:r w:rsidRPr="00095D5C">
        <w:rPr>
          <w:rFonts w:asciiTheme="minorHAnsi" w:hAnsiTheme="minorHAnsi"/>
        </w:rPr>
        <w:t xml:space="preserve"> </w:t>
      </w:r>
      <w:r w:rsidR="006E6F19">
        <w:rPr>
          <w:rFonts w:asciiTheme="minorHAnsi" w:hAnsiTheme="minorHAnsi"/>
        </w:rPr>
        <w:t>This</w:t>
      </w:r>
      <w:r w:rsidR="006E6F19" w:rsidRPr="00210566">
        <w:rPr>
          <w:rFonts w:asciiTheme="minorHAnsi" w:hAnsiTheme="minorHAnsi"/>
        </w:rPr>
        <w:t xml:space="preserve"> </w:t>
      </w:r>
      <w:r w:rsidR="00D96790" w:rsidRPr="00095D5C">
        <w:rPr>
          <w:rFonts w:asciiTheme="minorHAnsi" w:hAnsiTheme="minorHAnsi"/>
        </w:rPr>
        <w:t>$47 million cut</w:t>
      </w:r>
      <w:r w:rsidR="00D96790" w:rsidRPr="00210566">
        <w:rPr>
          <w:rFonts w:asciiTheme="minorHAnsi" w:hAnsiTheme="minorHAnsi"/>
        </w:rPr>
        <w:t xml:space="preserve"> </w:t>
      </w:r>
      <w:r w:rsidRPr="00210566">
        <w:rPr>
          <w:rFonts w:asciiTheme="minorHAnsi" w:hAnsiTheme="minorHAnsi"/>
        </w:rPr>
        <w:t xml:space="preserve">includes the </w:t>
      </w:r>
      <w:r w:rsidR="00D96790">
        <w:rPr>
          <w:rFonts w:asciiTheme="minorHAnsi" w:hAnsiTheme="minorHAnsi"/>
        </w:rPr>
        <w:t xml:space="preserve">$31.3 million appropriation for </w:t>
      </w:r>
      <w:r w:rsidRPr="00210566">
        <w:rPr>
          <w:rFonts w:asciiTheme="minorHAnsi" w:hAnsiTheme="minorHAnsi"/>
        </w:rPr>
        <w:t>LEND programs</w:t>
      </w:r>
      <w:r w:rsidR="00D96790">
        <w:rPr>
          <w:rFonts w:asciiTheme="minorHAnsi" w:hAnsiTheme="minorHAnsi"/>
        </w:rPr>
        <w:t>.</w:t>
      </w:r>
      <w:r w:rsidR="00616B32" w:rsidRPr="00095D5C">
        <w:rPr>
          <w:rFonts w:asciiTheme="minorHAnsi" w:hAnsiTheme="minorHAnsi"/>
        </w:rPr>
        <w:t xml:space="preserve"> </w:t>
      </w:r>
      <w:r w:rsidR="003A1090">
        <w:rPr>
          <w:rFonts w:asciiTheme="minorHAnsi" w:hAnsiTheme="minorHAnsi"/>
        </w:rPr>
        <w:t>The national network of LEND programs would be eliminated.</w:t>
      </w:r>
      <w:r w:rsidR="00616B32" w:rsidRPr="00095D5C">
        <w:rPr>
          <w:rFonts w:asciiTheme="minorHAnsi" w:hAnsiTheme="minorHAnsi"/>
        </w:rPr>
        <w:t xml:space="preserve">  LEND directors, health professionals, trainees, families and allies must educate their Members of Congress about why this training program is important and why it must not be eliminated.</w:t>
      </w:r>
    </w:p>
    <w:p w:rsidR="002D31C2" w:rsidRDefault="002D31C2" w:rsidP="00937673">
      <w:pPr>
        <w:rPr>
          <w:rFonts w:asciiTheme="minorHAnsi" w:hAnsiTheme="minorHAns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250"/>
        <w:gridCol w:w="2070"/>
        <w:gridCol w:w="2070"/>
        <w:gridCol w:w="2070"/>
      </w:tblGrid>
      <w:tr w:rsidR="002D31C2" w:rsidRPr="00F2754D" w:rsidTr="002D31C2">
        <w:trPr>
          <w:jc w:val="center"/>
        </w:trPr>
        <w:tc>
          <w:tcPr>
            <w:tcW w:w="1458" w:type="dxa"/>
          </w:tcPr>
          <w:p w:rsidR="002D31C2" w:rsidRPr="00266ACF" w:rsidRDefault="002D31C2" w:rsidP="002D31C2">
            <w:pPr>
              <w:rPr>
                <w:i/>
              </w:rPr>
            </w:pPr>
            <w:r w:rsidRPr="00266ACF">
              <w:rPr>
                <w:i/>
                <w:sz w:val="22"/>
              </w:rPr>
              <w:t>In millions</w:t>
            </w:r>
          </w:p>
        </w:tc>
        <w:tc>
          <w:tcPr>
            <w:tcW w:w="2250" w:type="dxa"/>
          </w:tcPr>
          <w:p w:rsidR="002D31C2" w:rsidRPr="00EE68BC" w:rsidRDefault="002D31C2" w:rsidP="002D31C2">
            <w:pPr>
              <w:jc w:val="center"/>
              <w:rPr>
                <w:b/>
              </w:rPr>
            </w:pPr>
            <w:r>
              <w:rPr>
                <w:b/>
              </w:rPr>
              <w:t>FY16</w:t>
            </w:r>
          </w:p>
        </w:tc>
        <w:tc>
          <w:tcPr>
            <w:tcW w:w="2070" w:type="dxa"/>
          </w:tcPr>
          <w:p w:rsidR="002D31C2" w:rsidRDefault="0037084B" w:rsidP="002D31C2">
            <w:pPr>
              <w:jc w:val="center"/>
              <w:rPr>
                <w:b/>
              </w:rPr>
            </w:pPr>
            <w:r>
              <w:rPr>
                <w:b/>
              </w:rPr>
              <w:t>FY</w:t>
            </w:r>
            <w:r w:rsidR="002D31C2">
              <w:rPr>
                <w:b/>
              </w:rPr>
              <w:t>17</w:t>
            </w:r>
          </w:p>
        </w:tc>
        <w:tc>
          <w:tcPr>
            <w:tcW w:w="2070" w:type="dxa"/>
          </w:tcPr>
          <w:p w:rsidR="002D31C2" w:rsidRDefault="002D31C2" w:rsidP="002D31C2">
            <w:pPr>
              <w:jc w:val="center"/>
              <w:rPr>
                <w:b/>
              </w:rPr>
            </w:pPr>
            <w:r>
              <w:rPr>
                <w:b/>
              </w:rPr>
              <w:t>President’s</w:t>
            </w:r>
            <w:r w:rsidR="0037084B">
              <w:rPr>
                <w:b/>
              </w:rPr>
              <w:t xml:space="preserve"> FY18 </w:t>
            </w:r>
            <w:r>
              <w:rPr>
                <w:b/>
              </w:rPr>
              <w:t>Request</w:t>
            </w:r>
          </w:p>
        </w:tc>
        <w:tc>
          <w:tcPr>
            <w:tcW w:w="2070" w:type="dxa"/>
          </w:tcPr>
          <w:p w:rsidR="002D31C2" w:rsidRPr="00EE68BC" w:rsidRDefault="002D31C2" w:rsidP="002D31C2">
            <w:pPr>
              <w:jc w:val="center"/>
            </w:pPr>
            <w:r>
              <w:rPr>
                <w:b/>
              </w:rPr>
              <w:t>FY</w:t>
            </w:r>
            <w:r w:rsidRPr="00EE68BC">
              <w:rPr>
                <w:b/>
              </w:rPr>
              <w:t>1</w:t>
            </w:r>
            <w:r>
              <w:rPr>
                <w:b/>
              </w:rPr>
              <w:t>8</w:t>
            </w:r>
            <w:r w:rsidRPr="00EE68BC">
              <w:rPr>
                <w:b/>
              </w:rPr>
              <w:t xml:space="preserve"> AUCD </w:t>
            </w:r>
            <w:r>
              <w:rPr>
                <w:b/>
              </w:rPr>
              <w:t>Recommendation</w:t>
            </w:r>
          </w:p>
        </w:tc>
      </w:tr>
      <w:tr w:rsidR="002D31C2" w:rsidRPr="00F2754D" w:rsidTr="002D31C2">
        <w:trPr>
          <w:jc w:val="center"/>
        </w:trPr>
        <w:tc>
          <w:tcPr>
            <w:tcW w:w="1458" w:type="dxa"/>
          </w:tcPr>
          <w:p w:rsidR="002D31C2" w:rsidRPr="00EE68BC" w:rsidRDefault="002D31C2" w:rsidP="002D31C2">
            <w:r>
              <w:t xml:space="preserve">Autism and </w:t>
            </w:r>
            <w:proofErr w:type="gramStart"/>
            <w:r>
              <w:t>other</w:t>
            </w:r>
            <w:proofErr w:type="gramEnd"/>
            <w:r>
              <w:t xml:space="preserve"> DD</w:t>
            </w:r>
          </w:p>
        </w:tc>
        <w:tc>
          <w:tcPr>
            <w:tcW w:w="2250" w:type="dxa"/>
          </w:tcPr>
          <w:p w:rsidR="002D31C2" w:rsidRPr="00371483" w:rsidRDefault="002D31C2" w:rsidP="002D31C2">
            <w:pPr>
              <w:jc w:val="center"/>
            </w:pPr>
            <w:r w:rsidRPr="00371483">
              <w:t>$4</w:t>
            </w:r>
            <w:r>
              <w:t>7</w:t>
            </w:r>
            <w:r w:rsidRPr="00371483">
              <w:t>,</w:t>
            </w:r>
            <w:r>
              <w:t>000</w:t>
            </w:r>
            <w:r w:rsidRPr="00371483">
              <w:t>,000</w:t>
            </w:r>
          </w:p>
        </w:tc>
        <w:tc>
          <w:tcPr>
            <w:tcW w:w="2070" w:type="dxa"/>
          </w:tcPr>
          <w:p w:rsidR="002D31C2" w:rsidRPr="00371483" w:rsidRDefault="002D31C2" w:rsidP="002D31C2">
            <w:pPr>
              <w:jc w:val="center"/>
            </w:pPr>
            <w:r w:rsidRPr="00371483">
              <w:t>$4</w:t>
            </w:r>
            <w:r>
              <w:t>7</w:t>
            </w:r>
            <w:r w:rsidRPr="00371483">
              <w:t>,</w:t>
            </w:r>
            <w:r>
              <w:t>000</w:t>
            </w:r>
            <w:r w:rsidRPr="00371483">
              <w:t>,000</w:t>
            </w:r>
          </w:p>
        </w:tc>
        <w:tc>
          <w:tcPr>
            <w:tcW w:w="2070" w:type="dxa"/>
          </w:tcPr>
          <w:p w:rsidR="002D31C2" w:rsidRPr="00371483" w:rsidRDefault="002D31C2" w:rsidP="002D31C2">
            <w:pPr>
              <w:jc w:val="center"/>
            </w:pPr>
            <w:r>
              <w:t>0.0</w:t>
            </w:r>
          </w:p>
        </w:tc>
        <w:tc>
          <w:tcPr>
            <w:tcW w:w="2070" w:type="dxa"/>
          </w:tcPr>
          <w:p w:rsidR="002D31C2" w:rsidRDefault="002D31C2" w:rsidP="002D31C2">
            <w:pPr>
              <w:jc w:val="center"/>
              <w:rPr>
                <w:b/>
              </w:rPr>
            </w:pPr>
            <w:r>
              <w:rPr>
                <w:b/>
              </w:rPr>
              <w:t>$52,000,000</w:t>
            </w:r>
          </w:p>
        </w:tc>
      </w:tr>
      <w:tr w:rsidR="002D31C2" w:rsidRPr="00F2754D" w:rsidTr="002D31C2">
        <w:trPr>
          <w:jc w:val="center"/>
        </w:trPr>
        <w:tc>
          <w:tcPr>
            <w:tcW w:w="1458" w:type="dxa"/>
          </w:tcPr>
          <w:p w:rsidR="002D31C2" w:rsidRPr="00EE68BC" w:rsidRDefault="002D31C2" w:rsidP="002D31C2">
            <w:r w:rsidRPr="00EE68BC">
              <w:t>LENDs</w:t>
            </w:r>
          </w:p>
        </w:tc>
        <w:tc>
          <w:tcPr>
            <w:tcW w:w="2250" w:type="dxa"/>
          </w:tcPr>
          <w:p w:rsidR="002D31C2" w:rsidRPr="00371483" w:rsidRDefault="002D31C2" w:rsidP="002D31C2">
            <w:pPr>
              <w:jc w:val="center"/>
            </w:pPr>
            <w:r w:rsidRPr="00371483">
              <w:t>$2</w:t>
            </w:r>
            <w:r>
              <w:t>9</w:t>
            </w:r>
            <w:r w:rsidRPr="00371483">
              <w:t>,</w:t>
            </w:r>
            <w:r>
              <w:t>042</w:t>
            </w:r>
            <w:r w:rsidRPr="00371483">
              <w:t>,</w:t>
            </w:r>
            <w:r>
              <w:t>255</w:t>
            </w:r>
          </w:p>
        </w:tc>
        <w:tc>
          <w:tcPr>
            <w:tcW w:w="2070" w:type="dxa"/>
          </w:tcPr>
          <w:p w:rsidR="002D31C2" w:rsidRPr="00371483" w:rsidRDefault="002D31C2" w:rsidP="002D31C2">
            <w:pPr>
              <w:jc w:val="center"/>
            </w:pPr>
            <w:r w:rsidRPr="00371483">
              <w:t>$</w:t>
            </w:r>
            <w:r>
              <w:t>31,317,485</w:t>
            </w:r>
          </w:p>
        </w:tc>
        <w:tc>
          <w:tcPr>
            <w:tcW w:w="2070" w:type="dxa"/>
          </w:tcPr>
          <w:p w:rsidR="002D31C2" w:rsidRPr="00371483" w:rsidRDefault="002D31C2" w:rsidP="002D31C2">
            <w:pPr>
              <w:jc w:val="center"/>
            </w:pPr>
            <w:r>
              <w:t>0.0</w:t>
            </w:r>
          </w:p>
        </w:tc>
        <w:tc>
          <w:tcPr>
            <w:tcW w:w="2070" w:type="dxa"/>
          </w:tcPr>
          <w:p w:rsidR="002D31C2" w:rsidRPr="00B14078" w:rsidRDefault="002D31C2" w:rsidP="002D31C2">
            <w:pPr>
              <w:jc w:val="center"/>
              <w:rPr>
                <w:b/>
              </w:rPr>
            </w:pPr>
            <w:r w:rsidRPr="00B14078">
              <w:rPr>
                <w:b/>
              </w:rPr>
              <w:t>$31,317,485</w:t>
            </w:r>
          </w:p>
        </w:tc>
      </w:tr>
    </w:tbl>
    <w:p w:rsidR="002D31C2" w:rsidRPr="00095D5C" w:rsidRDefault="002D31C2" w:rsidP="00937673">
      <w:pPr>
        <w:rPr>
          <w:rFonts w:asciiTheme="minorHAnsi" w:hAnsiTheme="minorHAnsi"/>
        </w:rPr>
      </w:pPr>
    </w:p>
    <w:p w:rsidR="00A50F8C" w:rsidRPr="00095D5C" w:rsidRDefault="00A50F8C" w:rsidP="00A50F8C">
      <w:pPr>
        <w:rPr>
          <w:rFonts w:asciiTheme="minorHAnsi" w:hAnsiTheme="minorHAnsi"/>
          <w:b/>
          <w:u w:val="single"/>
        </w:rPr>
      </w:pPr>
      <w:r w:rsidRPr="00095D5C">
        <w:rPr>
          <w:rFonts w:asciiTheme="minorHAnsi" w:hAnsiTheme="minorHAnsi"/>
          <w:b/>
          <w:u w:val="single"/>
        </w:rPr>
        <w:t>BACKGROUND:</w:t>
      </w:r>
    </w:p>
    <w:p w:rsidR="00C92504" w:rsidRPr="00095D5C" w:rsidRDefault="00C92504" w:rsidP="00C92504">
      <w:pPr>
        <w:tabs>
          <w:tab w:val="left" w:pos="2700"/>
        </w:tabs>
        <w:jc w:val="both"/>
        <w:rPr>
          <w:rFonts w:asciiTheme="minorHAnsi" w:hAnsiTheme="minorHAnsi"/>
        </w:rPr>
      </w:pPr>
      <w:r w:rsidRPr="00095D5C">
        <w:rPr>
          <w:rFonts w:asciiTheme="minorHAnsi" w:hAnsiTheme="minorHAnsi"/>
        </w:rPr>
        <w:t>Leadership Education in Neurodevelopmental and Related Disabilities (LEND) programs have been funded for over 30 years to provide advanced training to students and fellows from a broad array of professional disciplines in the identification, assessment, and treatment of children and youth with a wide range of developmental disabilities</w:t>
      </w:r>
      <w:r w:rsidR="003A1090">
        <w:rPr>
          <w:rFonts w:asciiTheme="minorHAnsi" w:hAnsiTheme="minorHAnsi"/>
        </w:rPr>
        <w:t>.</w:t>
      </w:r>
      <w:r w:rsidR="003A1090" w:rsidRPr="003A1090">
        <w:rPr>
          <w:rFonts w:asciiTheme="minorHAnsi" w:hAnsiTheme="minorHAnsi"/>
        </w:rPr>
        <w:t xml:space="preserve"> </w:t>
      </w:r>
      <w:r w:rsidR="003A1090">
        <w:rPr>
          <w:rFonts w:asciiTheme="minorHAnsi" w:hAnsiTheme="minorHAnsi"/>
        </w:rPr>
        <w:t>Disabilities include a</w:t>
      </w:r>
      <w:r w:rsidR="003A1090">
        <w:rPr>
          <w:rFonts w:asciiTheme="minorHAnsi" w:hAnsiTheme="minorHAnsi"/>
        </w:rPr>
        <w:t>utism spectrum disorder (ASD)</w:t>
      </w:r>
      <w:r w:rsidRPr="00095D5C">
        <w:rPr>
          <w:rFonts w:asciiTheme="minorHAnsi" w:hAnsiTheme="minorHAnsi"/>
        </w:rPr>
        <w:t xml:space="preserve">, intellectual disability, fragile X syndrome, cerebral palsy, spina bifida, Down syndrome, epilepsy and many other genetic and metabolic disorders. Nationally, there </w:t>
      </w:r>
      <w:r w:rsidR="003A1090">
        <w:rPr>
          <w:rFonts w:asciiTheme="minorHAnsi" w:hAnsiTheme="minorHAnsi"/>
        </w:rPr>
        <w:t>continues to be</w:t>
      </w:r>
      <w:r w:rsidRPr="00095D5C">
        <w:rPr>
          <w:rFonts w:asciiTheme="minorHAnsi" w:hAnsiTheme="minorHAnsi"/>
        </w:rPr>
        <w:t xml:space="preserve"> tremendous shortages of personnel trained to screen, diagnose and treat individuals with DD</w:t>
      </w:r>
      <w:r w:rsidR="006E6F19">
        <w:rPr>
          <w:rFonts w:asciiTheme="minorHAnsi" w:hAnsiTheme="minorHAnsi"/>
        </w:rPr>
        <w:t>.</w:t>
      </w:r>
      <w:r w:rsidR="00542ADD">
        <w:rPr>
          <w:rFonts w:asciiTheme="minorHAnsi" w:hAnsiTheme="minorHAnsi"/>
        </w:rPr>
        <w:t xml:space="preserve"> </w:t>
      </w:r>
      <w:r w:rsidRPr="00095D5C">
        <w:rPr>
          <w:rFonts w:asciiTheme="minorHAnsi" w:hAnsiTheme="minorHAnsi"/>
        </w:rPr>
        <w:t xml:space="preserve"> </w:t>
      </w:r>
      <w:proofErr w:type="gramStart"/>
      <w:r w:rsidR="003A1090">
        <w:rPr>
          <w:rFonts w:asciiTheme="minorHAnsi" w:hAnsiTheme="minorHAnsi"/>
        </w:rPr>
        <w:t>As a result</w:t>
      </w:r>
      <w:proofErr w:type="gramEnd"/>
      <w:r w:rsidR="003A1090">
        <w:rPr>
          <w:rFonts w:asciiTheme="minorHAnsi" w:hAnsiTheme="minorHAnsi"/>
        </w:rPr>
        <w:t>, f</w:t>
      </w:r>
      <w:r w:rsidRPr="00095D5C">
        <w:rPr>
          <w:rFonts w:asciiTheme="minorHAnsi" w:hAnsiTheme="minorHAnsi"/>
        </w:rPr>
        <w:t xml:space="preserve">amilies often </w:t>
      </w:r>
      <w:r w:rsidR="006E6F19">
        <w:rPr>
          <w:rFonts w:asciiTheme="minorHAnsi" w:hAnsiTheme="minorHAnsi"/>
        </w:rPr>
        <w:t>must</w:t>
      </w:r>
      <w:r w:rsidRPr="00095D5C">
        <w:rPr>
          <w:rFonts w:asciiTheme="minorHAnsi" w:hAnsiTheme="minorHAnsi"/>
        </w:rPr>
        <w:t xml:space="preserve"> wait months to get a comprehensive diagnosis.</w:t>
      </w:r>
      <w:r w:rsidR="003A1090">
        <w:rPr>
          <w:rFonts w:asciiTheme="minorHAnsi" w:hAnsiTheme="minorHAnsi"/>
        </w:rPr>
        <w:t xml:space="preserve"> </w:t>
      </w:r>
      <w:r w:rsidR="003A1090">
        <w:rPr>
          <w:rFonts w:asciiTheme="minorHAnsi" w:hAnsiTheme="minorHAnsi"/>
        </w:rPr>
        <w:t>Delaying diagnosis also delays timely early intervention services that can reduce the impact of disability and therefore reduce long term service costs.</w:t>
      </w:r>
    </w:p>
    <w:p w:rsidR="00C92504" w:rsidRPr="00095D5C" w:rsidRDefault="00C92504" w:rsidP="00C92504">
      <w:pPr>
        <w:tabs>
          <w:tab w:val="left" w:pos="2700"/>
        </w:tabs>
        <w:jc w:val="both"/>
        <w:rPr>
          <w:rFonts w:asciiTheme="minorHAnsi" w:hAnsiTheme="minorHAnsi"/>
        </w:rPr>
      </w:pPr>
    </w:p>
    <w:p w:rsidR="00C92504" w:rsidRPr="00095D5C" w:rsidRDefault="00A50F8C" w:rsidP="00C92504">
      <w:pPr>
        <w:tabs>
          <w:tab w:val="left" w:pos="2700"/>
        </w:tabs>
        <w:jc w:val="both"/>
        <w:rPr>
          <w:rFonts w:asciiTheme="minorHAnsi" w:hAnsiTheme="minorHAnsi"/>
        </w:rPr>
      </w:pPr>
      <w:r w:rsidRPr="00095D5C">
        <w:rPr>
          <w:rFonts w:asciiTheme="minorHAnsi" w:hAnsiTheme="minorHAnsi"/>
        </w:rPr>
        <w:t>In 2006</w:t>
      </w:r>
      <w:r w:rsidR="006E6F19">
        <w:rPr>
          <w:rFonts w:asciiTheme="minorHAnsi" w:hAnsiTheme="minorHAnsi"/>
        </w:rPr>
        <w:t>,</w:t>
      </w:r>
      <w:r w:rsidRPr="00095D5C">
        <w:rPr>
          <w:rFonts w:asciiTheme="minorHAnsi" w:hAnsiTheme="minorHAnsi"/>
        </w:rPr>
        <w:t xml:space="preserve"> Congress passed the Combating Autism Act to increase cross-agency collaboration and investments to address the rising numbers of those diagnosed with autism.  Congress reauthorized this law in 2014 when it passed the Autism Collaboration, Accountability, Research, Education, and Support (CARES) Act (P.L. 113-157). The bipartisan bill was passed unanimously in the House and Senate.</w:t>
      </w:r>
    </w:p>
    <w:p w:rsidR="00A50F8C" w:rsidRPr="00095D5C" w:rsidRDefault="00A50F8C" w:rsidP="00C92504">
      <w:pPr>
        <w:tabs>
          <w:tab w:val="left" w:pos="2700"/>
        </w:tabs>
        <w:jc w:val="both"/>
        <w:rPr>
          <w:rFonts w:asciiTheme="minorHAnsi" w:hAnsiTheme="minorHAnsi"/>
        </w:rPr>
      </w:pPr>
    </w:p>
    <w:p w:rsidR="00C92504" w:rsidRDefault="00A50F8C" w:rsidP="00480DED">
      <w:pPr>
        <w:tabs>
          <w:tab w:val="left" w:pos="2700"/>
        </w:tabs>
        <w:jc w:val="both"/>
        <w:rPr>
          <w:rFonts w:asciiTheme="minorHAnsi" w:hAnsiTheme="minorHAnsi"/>
        </w:rPr>
      </w:pPr>
      <w:r w:rsidRPr="00095D5C">
        <w:rPr>
          <w:rFonts w:asciiTheme="minorHAnsi" w:hAnsiTheme="minorHAnsi"/>
        </w:rPr>
        <w:t xml:space="preserve">The law increased </w:t>
      </w:r>
      <w:r w:rsidR="003A1090">
        <w:rPr>
          <w:rFonts w:asciiTheme="minorHAnsi" w:hAnsiTheme="minorHAnsi"/>
        </w:rPr>
        <w:t>the investment</w:t>
      </w:r>
      <w:r w:rsidRPr="00095D5C">
        <w:rPr>
          <w:rFonts w:asciiTheme="minorHAnsi" w:hAnsiTheme="minorHAnsi"/>
        </w:rPr>
        <w:t xml:space="preserve"> in the</w:t>
      </w:r>
      <w:r w:rsidR="00616B32" w:rsidRPr="00095D5C">
        <w:rPr>
          <w:rFonts w:asciiTheme="minorHAnsi" w:hAnsiTheme="minorHAnsi"/>
        </w:rPr>
        <w:t xml:space="preserve"> nationwide</w:t>
      </w:r>
      <w:r w:rsidRPr="00095D5C">
        <w:rPr>
          <w:rFonts w:asciiTheme="minorHAnsi" w:hAnsiTheme="minorHAnsi"/>
        </w:rPr>
        <w:t xml:space="preserve"> LEND </w:t>
      </w:r>
      <w:r w:rsidR="00616B32" w:rsidRPr="00095D5C">
        <w:rPr>
          <w:rFonts w:asciiTheme="minorHAnsi" w:hAnsiTheme="minorHAnsi"/>
        </w:rPr>
        <w:t>network</w:t>
      </w:r>
      <w:r w:rsidRPr="00095D5C">
        <w:rPr>
          <w:rFonts w:asciiTheme="minorHAnsi" w:hAnsiTheme="minorHAnsi"/>
        </w:rPr>
        <w:t xml:space="preserve"> to address the severe shortage in </w:t>
      </w:r>
      <w:r w:rsidR="006E6F19">
        <w:rPr>
          <w:rFonts w:asciiTheme="minorHAnsi" w:hAnsiTheme="minorHAnsi"/>
        </w:rPr>
        <w:t xml:space="preserve">adequately trained </w:t>
      </w:r>
      <w:r w:rsidRPr="00095D5C">
        <w:rPr>
          <w:rFonts w:asciiTheme="minorHAnsi" w:hAnsiTheme="minorHAnsi"/>
        </w:rPr>
        <w:t>health professionals.  Since 2006, the number of LEND programs</w:t>
      </w:r>
      <w:r w:rsidR="006E6F19">
        <w:rPr>
          <w:rFonts w:asciiTheme="minorHAnsi" w:hAnsiTheme="minorHAnsi"/>
        </w:rPr>
        <w:t xml:space="preserve"> has</w:t>
      </w:r>
      <w:r w:rsidRPr="00095D5C">
        <w:rPr>
          <w:rFonts w:asciiTheme="minorHAnsi" w:hAnsiTheme="minorHAnsi"/>
        </w:rPr>
        <w:t xml:space="preserve"> increased from 39 to 52 (in 44 states).</w:t>
      </w:r>
      <w:r w:rsidR="00542ADD">
        <w:rPr>
          <w:rFonts w:asciiTheme="minorHAnsi" w:hAnsiTheme="minorHAnsi"/>
        </w:rPr>
        <w:t xml:space="preserve"> LEND programs are administered by </w:t>
      </w:r>
      <w:r w:rsidR="006E6F19">
        <w:rPr>
          <w:rFonts w:asciiTheme="minorHAnsi" w:hAnsiTheme="minorHAnsi"/>
        </w:rPr>
        <w:t>HRSA</w:t>
      </w:r>
      <w:r w:rsidR="00542ADD">
        <w:rPr>
          <w:rFonts w:asciiTheme="minorHAnsi" w:hAnsiTheme="minorHAnsi"/>
        </w:rPr>
        <w:t>.</w:t>
      </w:r>
    </w:p>
    <w:p w:rsidR="00542ADD" w:rsidRPr="00480DED" w:rsidRDefault="00542ADD" w:rsidP="00480DED">
      <w:pPr>
        <w:tabs>
          <w:tab w:val="left" w:pos="2700"/>
        </w:tabs>
        <w:jc w:val="both"/>
        <w:rPr>
          <w:rFonts w:asciiTheme="minorHAnsi" w:hAnsiTheme="minorHAnsi"/>
        </w:rPr>
      </w:pPr>
    </w:p>
    <w:p w:rsidR="00095D5C" w:rsidRPr="00095D5C" w:rsidRDefault="00095D5C" w:rsidP="00937673">
      <w:pPr>
        <w:spacing w:after="240"/>
        <w:rPr>
          <w:rFonts w:asciiTheme="minorHAnsi" w:hAnsiTheme="minorHAnsi" w:cs="Arial"/>
        </w:rPr>
      </w:pPr>
      <w:r>
        <w:rPr>
          <w:rFonts w:asciiTheme="minorHAnsi" w:hAnsiTheme="minorHAnsi" w:cs="Arial"/>
        </w:rPr>
        <w:t>The Autism CARE</w:t>
      </w:r>
      <w:r w:rsidR="00D96790">
        <w:rPr>
          <w:rFonts w:asciiTheme="minorHAnsi" w:hAnsiTheme="minorHAnsi" w:cs="Arial"/>
        </w:rPr>
        <w:t>S</w:t>
      </w:r>
      <w:r>
        <w:rPr>
          <w:rFonts w:asciiTheme="minorHAnsi" w:hAnsiTheme="minorHAnsi" w:cs="Arial"/>
        </w:rPr>
        <w:t xml:space="preserve"> Act also includes investments </w:t>
      </w:r>
      <w:r w:rsidR="00D96790">
        <w:rPr>
          <w:rFonts w:asciiTheme="minorHAnsi" w:hAnsiTheme="minorHAnsi" w:cs="Arial"/>
        </w:rPr>
        <w:t xml:space="preserve">to: </w:t>
      </w:r>
      <w:r>
        <w:rPr>
          <w:rFonts w:asciiTheme="minorHAnsi" w:hAnsiTheme="minorHAnsi" w:cs="Arial"/>
        </w:rPr>
        <w:t xml:space="preserve">train developmental behavioral pediatricians, research </w:t>
      </w:r>
      <w:r w:rsidR="00D96790">
        <w:rPr>
          <w:rFonts w:asciiTheme="minorHAnsi" w:hAnsiTheme="minorHAnsi" w:cs="Arial"/>
        </w:rPr>
        <w:t xml:space="preserve">to </w:t>
      </w:r>
      <w:r>
        <w:rPr>
          <w:rFonts w:asciiTheme="minorHAnsi" w:hAnsiTheme="minorHAnsi" w:cs="Arial"/>
        </w:rPr>
        <w:t>develop evidenced</w:t>
      </w:r>
      <w:r w:rsidR="00D96790">
        <w:rPr>
          <w:rFonts w:asciiTheme="minorHAnsi" w:hAnsiTheme="minorHAnsi" w:cs="Arial"/>
        </w:rPr>
        <w:t>-</w:t>
      </w:r>
      <w:r>
        <w:rPr>
          <w:rFonts w:asciiTheme="minorHAnsi" w:hAnsiTheme="minorHAnsi" w:cs="Arial"/>
        </w:rPr>
        <w:t>based interventions, and state system change grants</w:t>
      </w:r>
      <w:r w:rsidR="00D96790">
        <w:rPr>
          <w:rFonts w:asciiTheme="minorHAnsi" w:hAnsiTheme="minorHAnsi" w:cs="Arial"/>
        </w:rPr>
        <w:t xml:space="preserve"> to promote </w:t>
      </w:r>
      <w:r w:rsidR="00D96790">
        <w:rPr>
          <w:rFonts w:asciiTheme="minorHAnsi" w:hAnsiTheme="minorHAnsi" w:cs="Arial"/>
        </w:rPr>
        <w:lastRenderedPageBreak/>
        <w:t>innovation</w:t>
      </w:r>
      <w:r>
        <w:rPr>
          <w:rFonts w:asciiTheme="minorHAnsi" w:hAnsiTheme="minorHAnsi" w:cs="Arial"/>
        </w:rPr>
        <w:t>.  AUCD is recommending</w:t>
      </w:r>
      <w:r w:rsidR="00D96790">
        <w:rPr>
          <w:rFonts w:asciiTheme="minorHAnsi" w:hAnsiTheme="minorHAnsi" w:cs="Arial"/>
        </w:rPr>
        <w:t xml:space="preserve"> that</w:t>
      </w:r>
      <w:r>
        <w:rPr>
          <w:rFonts w:asciiTheme="minorHAnsi" w:hAnsiTheme="minorHAnsi" w:cs="Arial"/>
        </w:rPr>
        <w:t xml:space="preserve"> the same amount</w:t>
      </w:r>
      <w:r w:rsidR="00A77BB1">
        <w:rPr>
          <w:rFonts w:asciiTheme="minorHAnsi" w:hAnsiTheme="minorHAnsi" w:cs="Arial"/>
        </w:rPr>
        <w:t xml:space="preserve"> </w:t>
      </w:r>
      <w:r w:rsidR="00D96790">
        <w:rPr>
          <w:rFonts w:asciiTheme="minorHAnsi" w:hAnsiTheme="minorHAnsi" w:cs="Arial"/>
        </w:rPr>
        <w:t>appropriated in FY 2017</w:t>
      </w:r>
      <w:r>
        <w:rPr>
          <w:rFonts w:asciiTheme="minorHAnsi" w:hAnsiTheme="minorHAnsi" w:cs="Arial"/>
        </w:rPr>
        <w:t xml:space="preserve"> be provided for FY 2018: $31 million to maintain Congress’ </w:t>
      </w:r>
      <w:r w:rsidR="00D96790">
        <w:rPr>
          <w:rFonts w:asciiTheme="minorHAnsi" w:hAnsiTheme="minorHAnsi" w:cs="Arial"/>
        </w:rPr>
        <w:t xml:space="preserve">current commitment to </w:t>
      </w:r>
      <w:r>
        <w:rPr>
          <w:rFonts w:asciiTheme="minorHAnsi" w:hAnsiTheme="minorHAnsi" w:cs="Arial"/>
        </w:rPr>
        <w:t xml:space="preserve">the 52 </w:t>
      </w:r>
      <w:r w:rsidR="00D96790">
        <w:rPr>
          <w:rFonts w:asciiTheme="minorHAnsi" w:hAnsiTheme="minorHAnsi" w:cs="Arial"/>
        </w:rPr>
        <w:t xml:space="preserve">LEND </w:t>
      </w:r>
      <w:r>
        <w:rPr>
          <w:rFonts w:asciiTheme="minorHAnsi" w:hAnsiTheme="minorHAnsi" w:cs="Arial"/>
        </w:rPr>
        <w:t>programs.</w:t>
      </w:r>
    </w:p>
    <w:p w:rsidR="00937673" w:rsidRPr="00095D5C" w:rsidRDefault="00937673" w:rsidP="00937673">
      <w:pPr>
        <w:spacing w:after="240"/>
        <w:rPr>
          <w:rFonts w:asciiTheme="minorHAnsi" w:hAnsiTheme="minorHAnsi"/>
        </w:rPr>
      </w:pPr>
      <w:proofErr w:type="gramStart"/>
      <w:r w:rsidRPr="00095D5C">
        <w:rPr>
          <w:rFonts w:asciiTheme="minorHAnsi" w:hAnsiTheme="minorHAnsi"/>
          <w:b/>
          <w:bCs/>
          <w:u w:val="single"/>
        </w:rPr>
        <w:t>TAKE ACTION</w:t>
      </w:r>
      <w:proofErr w:type="gramEnd"/>
      <w:r w:rsidRPr="00095D5C">
        <w:rPr>
          <w:rFonts w:asciiTheme="minorHAnsi" w:hAnsiTheme="minorHAnsi"/>
          <w:b/>
          <w:bCs/>
          <w:u w:val="single"/>
        </w:rPr>
        <w:t>:</w:t>
      </w:r>
    </w:p>
    <w:p w:rsidR="00937673" w:rsidRPr="00095D5C" w:rsidRDefault="00937673" w:rsidP="00937673">
      <w:pPr>
        <w:spacing w:after="240"/>
        <w:rPr>
          <w:rFonts w:asciiTheme="minorHAnsi" w:hAnsiTheme="minorHAnsi"/>
          <w:b/>
          <w:bCs/>
        </w:rPr>
      </w:pPr>
      <w:r w:rsidRPr="00095D5C">
        <w:rPr>
          <w:rFonts w:asciiTheme="minorHAnsi" w:hAnsiTheme="minorHAnsi"/>
          <w:b/>
          <w:bCs/>
        </w:rPr>
        <w:t>Call your Representative/Senator/Member of Congress:</w:t>
      </w:r>
    </w:p>
    <w:p w:rsidR="00937673" w:rsidRPr="00095D5C" w:rsidRDefault="00937673" w:rsidP="00937673">
      <w:pPr>
        <w:pStyle w:val="ListParagraph"/>
        <w:numPr>
          <w:ilvl w:val="0"/>
          <w:numId w:val="1"/>
        </w:numPr>
        <w:spacing w:after="240"/>
        <w:rPr>
          <w:rFonts w:asciiTheme="minorHAnsi" w:eastAsia="Times New Roman" w:hAnsiTheme="minorHAnsi"/>
        </w:rPr>
      </w:pPr>
      <w:r w:rsidRPr="00095D5C">
        <w:rPr>
          <w:rFonts w:asciiTheme="minorHAnsi" w:eastAsia="Times New Roman" w:hAnsiTheme="minorHAnsi"/>
        </w:rPr>
        <w:t xml:space="preserve">Dial the Capitol Switchboard at </w:t>
      </w:r>
      <w:r w:rsidRPr="00095D5C">
        <w:rPr>
          <w:rStyle w:val="Strong"/>
          <w:rFonts w:asciiTheme="minorHAnsi" w:hAnsiTheme="minorHAnsi"/>
          <w:color w:val="FF0000"/>
        </w:rPr>
        <w:t xml:space="preserve">202-224-3121 </w:t>
      </w:r>
      <w:r w:rsidRPr="00095D5C">
        <w:rPr>
          <w:rFonts w:asciiTheme="minorHAnsi" w:eastAsia="Times New Roman" w:hAnsiTheme="minorHAnsi"/>
        </w:rPr>
        <w:t>and ask for the office of your Representative/Senators</w:t>
      </w:r>
    </w:p>
    <w:p w:rsidR="0037084B" w:rsidRPr="0037084B" w:rsidRDefault="00937673" w:rsidP="0037084B">
      <w:pPr>
        <w:pStyle w:val="ListParagraph"/>
        <w:numPr>
          <w:ilvl w:val="0"/>
          <w:numId w:val="1"/>
        </w:numPr>
        <w:spacing w:after="240"/>
        <w:rPr>
          <w:rFonts w:asciiTheme="minorHAnsi" w:hAnsiTheme="minorHAnsi"/>
          <w:b/>
          <w:bCs/>
        </w:rPr>
      </w:pPr>
      <w:r w:rsidRPr="0037084B">
        <w:rPr>
          <w:rFonts w:asciiTheme="minorHAnsi" w:eastAsia="Times New Roman" w:hAnsiTheme="minorHAnsi"/>
        </w:rPr>
        <w:t xml:space="preserve">Ask to speak to the person working on </w:t>
      </w:r>
      <w:r w:rsidR="00095D5C" w:rsidRPr="0037084B">
        <w:rPr>
          <w:rFonts w:asciiTheme="minorHAnsi" w:eastAsia="Times New Roman" w:hAnsiTheme="minorHAnsi"/>
        </w:rPr>
        <w:t>health and disability funding</w:t>
      </w:r>
      <w:r w:rsidRPr="0037084B">
        <w:rPr>
          <w:rFonts w:asciiTheme="minorHAnsi" w:eastAsia="Times New Roman" w:hAnsiTheme="minorHAnsi"/>
        </w:rPr>
        <w:t xml:space="preserve"> issues</w:t>
      </w:r>
      <w:r w:rsidR="0037084B" w:rsidRPr="0037084B">
        <w:rPr>
          <w:rFonts w:asciiTheme="minorHAnsi" w:hAnsiTheme="minorHAnsi"/>
          <w:b/>
          <w:bCs/>
        </w:rPr>
        <w:t xml:space="preserve"> </w:t>
      </w:r>
    </w:p>
    <w:p w:rsidR="00937673" w:rsidRPr="0037084B" w:rsidRDefault="0037084B" w:rsidP="0037084B">
      <w:pPr>
        <w:pStyle w:val="ListParagraph"/>
        <w:numPr>
          <w:ilvl w:val="0"/>
          <w:numId w:val="1"/>
        </w:numPr>
        <w:spacing w:after="240"/>
        <w:rPr>
          <w:rFonts w:asciiTheme="minorHAnsi" w:eastAsia="Times New Roman" w:hAnsiTheme="minorHAnsi"/>
          <w:bCs/>
        </w:rPr>
      </w:pPr>
      <w:r>
        <w:rPr>
          <w:rFonts w:asciiTheme="minorHAnsi" w:hAnsiTheme="minorHAnsi"/>
          <w:bCs/>
        </w:rPr>
        <w:t>E</w:t>
      </w:r>
      <w:r w:rsidRPr="0037084B">
        <w:rPr>
          <w:rFonts w:asciiTheme="minorHAnsi" w:eastAsia="Times New Roman" w:hAnsiTheme="minorHAnsi"/>
          <w:bCs/>
        </w:rPr>
        <w:t>mail your members of Congress directly using</w:t>
      </w:r>
      <w:r w:rsidRPr="0037084B">
        <w:rPr>
          <w:rFonts w:asciiTheme="minorHAnsi" w:hAnsiTheme="minorHAnsi"/>
        </w:rPr>
        <w:t xml:space="preserve"> </w:t>
      </w:r>
      <w:hyperlink r:id="rId7" w:history="1">
        <w:r w:rsidRPr="004B75DC">
          <w:rPr>
            <w:rStyle w:val="Hyperlink"/>
            <w:rFonts w:asciiTheme="minorHAnsi" w:hAnsiTheme="minorHAnsi"/>
          </w:rPr>
          <w:t>AUCD’s Action Center</w:t>
        </w:r>
      </w:hyperlink>
      <w:bookmarkStart w:id="0" w:name="_GoBack"/>
      <w:bookmarkEnd w:id="0"/>
      <w:r w:rsidRPr="0037084B">
        <w:rPr>
          <w:rFonts w:asciiTheme="minorHAnsi" w:hAnsiTheme="minorHAnsi"/>
        </w:rPr>
        <w:t xml:space="preserve">. </w:t>
      </w:r>
    </w:p>
    <w:p w:rsidR="00937673" w:rsidRPr="00095D5C" w:rsidRDefault="00937673" w:rsidP="00937673">
      <w:pPr>
        <w:ind w:left="360"/>
        <w:rPr>
          <w:rFonts w:asciiTheme="minorHAnsi" w:hAnsiTheme="minorHAnsi" w:cs="Arial"/>
          <w:bCs/>
        </w:rPr>
      </w:pPr>
      <w:r w:rsidRPr="00095D5C">
        <w:rPr>
          <w:rFonts w:asciiTheme="minorHAnsi" w:hAnsiTheme="minorHAnsi"/>
          <w:b/>
          <w:bCs/>
          <w:u w:val="single"/>
        </w:rPr>
        <w:t>Message:</w:t>
      </w:r>
      <w:r w:rsidRPr="00095D5C">
        <w:rPr>
          <w:rFonts w:asciiTheme="minorHAnsi" w:hAnsiTheme="minorHAnsi"/>
        </w:rPr>
        <w:t xml:space="preserve"> “I am calling Representative/Senator </w:t>
      </w:r>
      <w:r w:rsidR="003A1090">
        <w:rPr>
          <w:rFonts w:asciiTheme="minorHAnsi" w:hAnsiTheme="minorHAnsi"/>
        </w:rPr>
        <w:t xml:space="preserve">___________ to urge </w:t>
      </w:r>
      <w:r w:rsidR="00616B32" w:rsidRPr="00095D5C">
        <w:rPr>
          <w:rFonts w:asciiTheme="minorHAnsi" w:hAnsiTheme="minorHAnsi"/>
        </w:rPr>
        <w:t>full support of continued funding for the LEND interdisciplinary training program in our state.  [use talking points below for more]</w:t>
      </w:r>
      <w:r w:rsidRPr="00095D5C">
        <w:rPr>
          <w:rFonts w:asciiTheme="minorHAnsi" w:hAnsiTheme="minorHAnsi"/>
        </w:rPr>
        <w:t xml:space="preserve"> Thank you.”</w:t>
      </w:r>
    </w:p>
    <w:p w:rsidR="00937673" w:rsidRPr="00095D5C" w:rsidRDefault="00937673" w:rsidP="00937673">
      <w:pPr>
        <w:ind w:left="360"/>
        <w:rPr>
          <w:rFonts w:asciiTheme="minorHAnsi" w:hAnsiTheme="minorHAnsi" w:cs="Arial"/>
          <w:bCs/>
        </w:rPr>
      </w:pPr>
    </w:p>
    <w:p w:rsidR="008804E5" w:rsidRDefault="008804E5" w:rsidP="00937673">
      <w:pPr>
        <w:rPr>
          <w:rFonts w:asciiTheme="minorHAnsi" w:hAnsiTheme="minorHAnsi"/>
          <w:b/>
        </w:rPr>
      </w:pPr>
      <w:r>
        <w:rPr>
          <w:rFonts w:asciiTheme="minorHAnsi" w:hAnsiTheme="minorHAnsi"/>
          <w:b/>
        </w:rPr>
        <w:t>Additional Talking Points</w:t>
      </w:r>
      <w:r w:rsidR="007E47D2">
        <w:rPr>
          <w:rFonts w:asciiTheme="minorHAnsi" w:hAnsiTheme="minorHAnsi"/>
          <w:b/>
        </w:rPr>
        <w:t>:</w:t>
      </w:r>
    </w:p>
    <w:p w:rsidR="0037084B" w:rsidRDefault="0037084B" w:rsidP="008804E5">
      <w:pPr>
        <w:pStyle w:val="ListParagraph"/>
        <w:numPr>
          <w:ilvl w:val="0"/>
          <w:numId w:val="4"/>
        </w:numPr>
        <w:tabs>
          <w:tab w:val="left" w:pos="2700"/>
        </w:tabs>
        <w:jc w:val="both"/>
        <w:rPr>
          <w:rFonts w:asciiTheme="minorHAnsi" w:hAnsiTheme="minorHAnsi"/>
        </w:rPr>
      </w:pPr>
      <w:r w:rsidRPr="00095D5C">
        <w:rPr>
          <w:rFonts w:asciiTheme="minorHAnsi" w:hAnsiTheme="minorHAnsi"/>
        </w:rPr>
        <w:t>There is a nationwide shortage of disability competent care providers in today’s health system to assess and meet the complex needs of children with autism spectrum disorders</w:t>
      </w:r>
      <w:r w:rsidR="00D96790">
        <w:rPr>
          <w:rFonts w:asciiTheme="minorHAnsi" w:hAnsiTheme="minorHAnsi"/>
        </w:rPr>
        <w:t xml:space="preserve"> (ASD)</w:t>
      </w:r>
      <w:r w:rsidRPr="00095D5C">
        <w:rPr>
          <w:rFonts w:asciiTheme="minorHAnsi" w:hAnsiTheme="minorHAnsi"/>
        </w:rPr>
        <w:t xml:space="preserve"> and other developmental disabilities. </w:t>
      </w:r>
    </w:p>
    <w:p w:rsidR="008804E5" w:rsidRPr="008804E5" w:rsidRDefault="008804E5" w:rsidP="008804E5">
      <w:pPr>
        <w:pStyle w:val="ListParagraph"/>
        <w:numPr>
          <w:ilvl w:val="0"/>
          <w:numId w:val="4"/>
        </w:numPr>
        <w:tabs>
          <w:tab w:val="left" w:pos="2700"/>
        </w:tabs>
        <w:jc w:val="both"/>
        <w:rPr>
          <w:rFonts w:asciiTheme="minorHAnsi" w:hAnsiTheme="minorHAnsi"/>
        </w:rPr>
      </w:pPr>
      <w:r w:rsidRPr="008804E5">
        <w:rPr>
          <w:rFonts w:asciiTheme="minorHAnsi" w:hAnsiTheme="minorHAnsi"/>
        </w:rPr>
        <w:t>ASD affects about</w:t>
      </w:r>
      <w:r w:rsidR="0037084B">
        <w:rPr>
          <w:rFonts w:asciiTheme="minorHAnsi" w:hAnsiTheme="minorHAnsi"/>
        </w:rPr>
        <w:t xml:space="preserve"> 1 in 68</w:t>
      </w:r>
      <w:r w:rsidRPr="008804E5">
        <w:rPr>
          <w:rFonts w:asciiTheme="minorHAnsi" w:hAnsiTheme="minorHAnsi"/>
        </w:rPr>
        <w:t xml:space="preserve">; about 1 in 6 children has a developmental disability. </w:t>
      </w:r>
    </w:p>
    <w:p w:rsidR="008804E5" w:rsidRPr="003A1090" w:rsidRDefault="008804E5" w:rsidP="003A1090">
      <w:pPr>
        <w:pStyle w:val="ListParagraph"/>
        <w:numPr>
          <w:ilvl w:val="0"/>
          <w:numId w:val="4"/>
        </w:numPr>
        <w:rPr>
          <w:rFonts w:asciiTheme="minorHAnsi" w:hAnsiTheme="minorHAnsi"/>
        </w:rPr>
      </w:pPr>
      <w:r w:rsidRPr="003A1090">
        <w:rPr>
          <w:rFonts w:asciiTheme="minorHAnsi" w:hAnsiTheme="minorHAnsi"/>
        </w:rPr>
        <w:t xml:space="preserve">It is difficult for families to obtain an appropriate diagnosis and </w:t>
      </w:r>
      <w:r w:rsidR="00D96790" w:rsidRPr="003A1090">
        <w:rPr>
          <w:rFonts w:asciiTheme="minorHAnsi" w:hAnsiTheme="minorHAnsi"/>
        </w:rPr>
        <w:t xml:space="preserve">much-need </w:t>
      </w:r>
      <w:r w:rsidRPr="003A1090">
        <w:rPr>
          <w:rFonts w:asciiTheme="minorHAnsi" w:hAnsiTheme="minorHAnsi"/>
        </w:rPr>
        <w:t xml:space="preserve">early intervention because of the lack of trained health and allied health care providers. </w:t>
      </w:r>
      <w:r w:rsidR="003A1090" w:rsidRPr="003A1090">
        <w:rPr>
          <w:rFonts w:asciiTheme="minorHAnsi" w:hAnsiTheme="minorHAnsi"/>
        </w:rPr>
        <w:t>Delaying diagnosis also delays timely early intervention services that can reduce the impact of disability and therefore reduce long term service costs.</w:t>
      </w:r>
    </w:p>
    <w:p w:rsidR="008804E5" w:rsidRPr="008804E5" w:rsidRDefault="008804E5" w:rsidP="008804E5">
      <w:pPr>
        <w:pStyle w:val="ListParagraph"/>
        <w:numPr>
          <w:ilvl w:val="0"/>
          <w:numId w:val="4"/>
        </w:numPr>
        <w:tabs>
          <w:tab w:val="left" w:pos="2700"/>
        </w:tabs>
        <w:jc w:val="both"/>
        <w:rPr>
          <w:rFonts w:asciiTheme="minorHAnsi" w:hAnsiTheme="minorHAnsi"/>
        </w:rPr>
      </w:pPr>
      <w:r>
        <w:rPr>
          <w:rFonts w:asciiTheme="minorHAnsi" w:hAnsiTheme="minorHAnsi"/>
        </w:rPr>
        <w:t xml:space="preserve">LEND programs </w:t>
      </w:r>
      <w:r w:rsidRPr="008804E5">
        <w:rPr>
          <w:rFonts w:asciiTheme="minorHAnsi" w:hAnsiTheme="minorHAnsi"/>
        </w:rPr>
        <w:t xml:space="preserve">are exceptionally qualified to address the shortage of professionals needed to address this issue of national significance. </w:t>
      </w:r>
    </w:p>
    <w:p w:rsidR="008804E5" w:rsidRPr="008804E5" w:rsidRDefault="00D96790" w:rsidP="008804E5">
      <w:pPr>
        <w:pStyle w:val="ListParagraph"/>
        <w:numPr>
          <w:ilvl w:val="0"/>
          <w:numId w:val="4"/>
        </w:numPr>
        <w:tabs>
          <w:tab w:val="left" w:pos="2700"/>
        </w:tabs>
        <w:jc w:val="both"/>
        <w:rPr>
          <w:rFonts w:asciiTheme="minorHAnsi" w:hAnsiTheme="minorHAnsi"/>
        </w:rPr>
      </w:pPr>
      <w:r>
        <w:rPr>
          <w:rFonts w:asciiTheme="minorHAnsi" w:hAnsiTheme="minorHAnsi"/>
        </w:rPr>
        <w:t>I</w:t>
      </w:r>
      <w:r w:rsidR="008804E5" w:rsidRPr="008804E5">
        <w:rPr>
          <w:rFonts w:asciiTheme="minorHAnsi" w:hAnsiTheme="minorHAnsi"/>
        </w:rPr>
        <w:t>n FY 2017</w:t>
      </w:r>
      <w:r>
        <w:rPr>
          <w:rFonts w:asciiTheme="minorHAnsi" w:hAnsiTheme="minorHAnsi"/>
        </w:rPr>
        <w:t>,</w:t>
      </w:r>
      <w:r w:rsidR="008804E5" w:rsidRPr="008804E5">
        <w:rPr>
          <w:rFonts w:asciiTheme="minorHAnsi" w:hAnsiTheme="minorHAnsi"/>
        </w:rPr>
        <w:t xml:space="preserve"> additional LEND programs </w:t>
      </w:r>
      <w:r w:rsidR="006024A8">
        <w:rPr>
          <w:rFonts w:asciiTheme="minorHAnsi" w:hAnsiTheme="minorHAnsi"/>
        </w:rPr>
        <w:t xml:space="preserve">were </w:t>
      </w:r>
      <w:r w:rsidR="008804E5" w:rsidRPr="008804E5">
        <w:rPr>
          <w:rFonts w:asciiTheme="minorHAnsi" w:hAnsiTheme="minorHAnsi"/>
        </w:rPr>
        <w:t xml:space="preserve">established in states that did not have one to address this </w:t>
      </w:r>
      <w:r w:rsidR="006024A8">
        <w:rPr>
          <w:rFonts w:asciiTheme="minorHAnsi" w:hAnsiTheme="minorHAnsi"/>
        </w:rPr>
        <w:t xml:space="preserve">critical </w:t>
      </w:r>
      <w:r w:rsidR="008804E5" w:rsidRPr="008804E5">
        <w:rPr>
          <w:rFonts w:asciiTheme="minorHAnsi" w:hAnsiTheme="minorHAnsi"/>
        </w:rPr>
        <w:t xml:space="preserve">shortage. </w:t>
      </w:r>
    </w:p>
    <w:p w:rsidR="007E47D2" w:rsidRPr="007E47D2" w:rsidRDefault="007E47D2" w:rsidP="007E47D2">
      <w:pPr>
        <w:pStyle w:val="ListParagraph"/>
        <w:numPr>
          <w:ilvl w:val="0"/>
          <w:numId w:val="4"/>
        </w:numPr>
        <w:tabs>
          <w:tab w:val="left" w:pos="2700"/>
        </w:tabs>
        <w:jc w:val="both"/>
        <w:rPr>
          <w:rFonts w:asciiTheme="minorHAnsi" w:hAnsiTheme="minorHAnsi"/>
        </w:rPr>
      </w:pPr>
      <w:r w:rsidRPr="007E47D2">
        <w:rPr>
          <w:rFonts w:asciiTheme="minorHAnsi" w:hAnsiTheme="minorHAnsi"/>
        </w:rPr>
        <w:t xml:space="preserve">This funding will enable LENDs to assist in ongoing developmental monitoring, especially for children exposed to lead and other environmental toxins, and for infants exposed to the Zika virus with its resulting complications. </w:t>
      </w:r>
    </w:p>
    <w:p w:rsidR="008804E5" w:rsidRDefault="008804E5" w:rsidP="00AE2E6B">
      <w:pPr>
        <w:pStyle w:val="ListParagraph"/>
        <w:numPr>
          <w:ilvl w:val="0"/>
          <w:numId w:val="4"/>
        </w:numPr>
        <w:tabs>
          <w:tab w:val="left" w:pos="2700"/>
        </w:tabs>
        <w:jc w:val="both"/>
        <w:rPr>
          <w:rFonts w:asciiTheme="minorHAnsi" w:hAnsiTheme="minorHAnsi"/>
        </w:rPr>
      </w:pPr>
      <w:r w:rsidRPr="008804E5">
        <w:rPr>
          <w:rFonts w:asciiTheme="minorHAnsi" w:hAnsiTheme="minorHAnsi"/>
        </w:rPr>
        <w:t xml:space="preserve">LEND programs help reduce duplication and increase service system efficiency.  Many operate clinics at universities or children’s hospitals that are interdisciplinary by nature.  </w:t>
      </w:r>
    </w:p>
    <w:p w:rsidR="008804E5" w:rsidRDefault="008804E5" w:rsidP="00AE2E6B">
      <w:pPr>
        <w:pStyle w:val="ListParagraph"/>
        <w:numPr>
          <w:ilvl w:val="0"/>
          <w:numId w:val="4"/>
        </w:numPr>
        <w:tabs>
          <w:tab w:val="left" w:pos="2700"/>
        </w:tabs>
        <w:jc w:val="both"/>
        <w:rPr>
          <w:rFonts w:asciiTheme="minorHAnsi" w:hAnsiTheme="minorHAnsi"/>
        </w:rPr>
      </w:pPr>
      <w:r>
        <w:rPr>
          <w:rFonts w:asciiTheme="minorHAnsi" w:hAnsiTheme="minorHAnsi"/>
        </w:rPr>
        <w:t xml:space="preserve">The training </w:t>
      </w:r>
      <w:r w:rsidRPr="008804E5">
        <w:rPr>
          <w:rFonts w:asciiTheme="minorHAnsi" w:hAnsiTheme="minorHAnsi"/>
        </w:rPr>
        <w:t xml:space="preserve">promotes collaboration among professionals from different disciplines </w:t>
      </w:r>
      <w:r>
        <w:rPr>
          <w:rFonts w:asciiTheme="minorHAnsi" w:hAnsiTheme="minorHAnsi"/>
        </w:rPr>
        <w:t xml:space="preserve">that can help </w:t>
      </w:r>
      <w:r w:rsidR="0037084B">
        <w:rPr>
          <w:rFonts w:asciiTheme="minorHAnsi" w:hAnsiTheme="minorHAnsi"/>
        </w:rPr>
        <w:t>employers increase efficiency and</w:t>
      </w:r>
      <w:r w:rsidRPr="008804E5">
        <w:rPr>
          <w:rFonts w:asciiTheme="minorHAnsi" w:hAnsiTheme="minorHAnsi"/>
        </w:rPr>
        <w:t xml:space="preserve"> reduce costs.</w:t>
      </w:r>
    </w:p>
    <w:p w:rsidR="002D31C2" w:rsidRPr="003A1090" w:rsidRDefault="002D31C2" w:rsidP="003A1090">
      <w:pPr>
        <w:pStyle w:val="ListParagraph"/>
        <w:numPr>
          <w:ilvl w:val="0"/>
          <w:numId w:val="5"/>
        </w:numPr>
        <w:tabs>
          <w:tab w:val="left" w:pos="2700"/>
        </w:tabs>
        <w:jc w:val="both"/>
        <w:rPr>
          <w:rFonts w:asciiTheme="minorHAnsi" w:hAnsiTheme="minorHAnsi"/>
        </w:rPr>
      </w:pPr>
      <w:r w:rsidRPr="002D31C2">
        <w:rPr>
          <w:rFonts w:asciiTheme="minorHAnsi" w:hAnsiTheme="minorHAnsi"/>
        </w:rPr>
        <w:t>For fiscal years 2011-2014, the LEND programs provided interdisciplinary diagnostic evaluations to more than 224,000 children, trained nearly 16,000 pediatricians and other health professionals, and initiated more than 3,000 continuing education events for practicing and pre-service professionals on screening, diagnosis, and intervention.</w:t>
      </w:r>
      <w:r w:rsidR="003A1090">
        <w:rPr>
          <w:rFonts w:asciiTheme="minorHAnsi" w:hAnsiTheme="minorHAnsi"/>
        </w:rPr>
        <w:t xml:space="preserve"> </w:t>
      </w:r>
      <w:r w:rsidR="003A1090">
        <w:rPr>
          <w:rFonts w:asciiTheme="minorHAnsi" w:hAnsiTheme="minorHAnsi"/>
        </w:rPr>
        <w:t xml:space="preserve">Nevertheless, the shortage of appropriately trained professionals persists.  </w:t>
      </w:r>
      <w:r w:rsidR="003A1090">
        <w:rPr>
          <w:rFonts w:asciiTheme="minorHAnsi" w:hAnsiTheme="minorHAnsi"/>
        </w:rPr>
        <w:t xml:space="preserve">Continued investment in training is imperative. </w:t>
      </w:r>
    </w:p>
    <w:p w:rsidR="007E47D2" w:rsidRPr="00542ADD" w:rsidRDefault="007E47D2" w:rsidP="00542ADD">
      <w:pPr>
        <w:tabs>
          <w:tab w:val="left" w:pos="2700"/>
        </w:tabs>
        <w:ind w:left="360"/>
        <w:jc w:val="both"/>
        <w:rPr>
          <w:rFonts w:asciiTheme="minorHAnsi" w:hAnsiTheme="minorHAnsi"/>
        </w:rPr>
      </w:pPr>
    </w:p>
    <w:sectPr w:rsidR="007E47D2" w:rsidRPr="00542ADD" w:rsidSect="003708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BCE"/>
    <w:multiLevelType w:val="hybridMultilevel"/>
    <w:tmpl w:val="C47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2DE9"/>
    <w:multiLevelType w:val="multilevel"/>
    <w:tmpl w:val="1458E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DE1277"/>
    <w:multiLevelType w:val="hybridMultilevel"/>
    <w:tmpl w:val="271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360EC"/>
    <w:multiLevelType w:val="hybridMultilevel"/>
    <w:tmpl w:val="E79E4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04"/>
    <w:rsid w:val="0000794D"/>
    <w:rsid w:val="0002110B"/>
    <w:rsid w:val="000359A3"/>
    <w:rsid w:val="00041B7E"/>
    <w:rsid w:val="00095D5C"/>
    <w:rsid w:val="00096C87"/>
    <w:rsid w:val="000C3B55"/>
    <w:rsid w:val="000D65CD"/>
    <w:rsid w:val="00103D94"/>
    <w:rsid w:val="001218A1"/>
    <w:rsid w:val="00123062"/>
    <w:rsid w:val="00132EB0"/>
    <w:rsid w:val="00155D42"/>
    <w:rsid w:val="00165319"/>
    <w:rsid w:val="00173ECF"/>
    <w:rsid w:val="00197347"/>
    <w:rsid w:val="001A78E3"/>
    <w:rsid w:val="001A7E28"/>
    <w:rsid w:val="001B59B7"/>
    <w:rsid w:val="001C4A5F"/>
    <w:rsid w:val="001C7B64"/>
    <w:rsid w:val="001D6929"/>
    <w:rsid w:val="001F5669"/>
    <w:rsid w:val="00210566"/>
    <w:rsid w:val="00214CBF"/>
    <w:rsid w:val="00226B3D"/>
    <w:rsid w:val="002358C4"/>
    <w:rsid w:val="00236E75"/>
    <w:rsid w:val="00242784"/>
    <w:rsid w:val="00271A3E"/>
    <w:rsid w:val="002971D9"/>
    <w:rsid w:val="002A18A1"/>
    <w:rsid w:val="002C0954"/>
    <w:rsid w:val="002C5B80"/>
    <w:rsid w:val="002D31C2"/>
    <w:rsid w:val="0030789D"/>
    <w:rsid w:val="003109BB"/>
    <w:rsid w:val="003228C5"/>
    <w:rsid w:val="003268C3"/>
    <w:rsid w:val="00327336"/>
    <w:rsid w:val="00332B60"/>
    <w:rsid w:val="003426E6"/>
    <w:rsid w:val="00347CF1"/>
    <w:rsid w:val="003537E0"/>
    <w:rsid w:val="00355BC0"/>
    <w:rsid w:val="00366B1A"/>
    <w:rsid w:val="0037084B"/>
    <w:rsid w:val="003753C9"/>
    <w:rsid w:val="00377E91"/>
    <w:rsid w:val="0038299C"/>
    <w:rsid w:val="003918DC"/>
    <w:rsid w:val="003A1090"/>
    <w:rsid w:val="003A7A59"/>
    <w:rsid w:val="003B1D1C"/>
    <w:rsid w:val="003B269A"/>
    <w:rsid w:val="003B3C18"/>
    <w:rsid w:val="003B4A15"/>
    <w:rsid w:val="003D19B0"/>
    <w:rsid w:val="003E6123"/>
    <w:rsid w:val="003F12EB"/>
    <w:rsid w:val="00410F1F"/>
    <w:rsid w:val="00423AC8"/>
    <w:rsid w:val="004330C7"/>
    <w:rsid w:val="00433BEE"/>
    <w:rsid w:val="004429E0"/>
    <w:rsid w:val="00480DED"/>
    <w:rsid w:val="004870C2"/>
    <w:rsid w:val="004A2A17"/>
    <w:rsid w:val="004B2643"/>
    <w:rsid w:val="004B75DC"/>
    <w:rsid w:val="004B761C"/>
    <w:rsid w:val="004D1B38"/>
    <w:rsid w:val="005047B5"/>
    <w:rsid w:val="00542ADD"/>
    <w:rsid w:val="00557DC5"/>
    <w:rsid w:val="0057001F"/>
    <w:rsid w:val="00571804"/>
    <w:rsid w:val="005C2E73"/>
    <w:rsid w:val="005E40B5"/>
    <w:rsid w:val="006024A8"/>
    <w:rsid w:val="00605C89"/>
    <w:rsid w:val="00616B32"/>
    <w:rsid w:val="00635345"/>
    <w:rsid w:val="00677A07"/>
    <w:rsid w:val="006A4D1C"/>
    <w:rsid w:val="006B0E70"/>
    <w:rsid w:val="006B2F80"/>
    <w:rsid w:val="006E6F19"/>
    <w:rsid w:val="00727098"/>
    <w:rsid w:val="00731B4C"/>
    <w:rsid w:val="00752C0A"/>
    <w:rsid w:val="00752F3D"/>
    <w:rsid w:val="00765013"/>
    <w:rsid w:val="007816CD"/>
    <w:rsid w:val="00783C74"/>
    <w:rsid w:val="007D4D87"/>
    <w:rsid w:val="007E47D2"/>
    <w:rsid w:val="00801C3D"/>
    <w:rsid w:val="008042C9"/>
    <w:rsid w:val="008061BE"/>
    <w:rsid w:val="008636C0"/>
    <w:rsid w:val="00866181"/>
    <w:rsid w:val="008720A5"/>
    <w:rsid w:val="00874658"/>
    <w:rsid w:val="0087493B"/>
    <w:rsid w:val="008772CC"/>
    <w:rsid w:val="00880059"/>
    <w:rsid w:val="008804E5"/>
    <w:rsid w:val="00885F77"/>
    <w:rsid w:val="008A2934"/>
    <w:rsid w:val="008D38EB"/>
    <w:rsid w:val="008E22A7"/>
    <w:rsid w:val="008F08CF"/>
    <w:rsid w:val="008F367F"/>
    <w:rsid w:val="0090154B"/>
    <w:rsid w:val="00911222"/>
    <w:rsid w:val="00917535"/>
    <w:rsid w:val="0093271F"/>
    <w:rsid w:val="00937016"/>
    <w:rsid w:val="00937673"/>
    <w:rsid w:val="009719F6"/>
    <w:rsid w:val="009A4C92"/>
    <w:rsid w:val="009C0506"/>
    <w:rsid w:val="009E714E"/>
    <w:rsid w:val="00A32BBC"/>
    <w:rsid w:val="00A330B6"/>
    <w:rsid w:val="00A36AC6"/>
    <w:rsid w:val="00A50F8C"/>
    <w:rsid w:val="00A54805"/>
    <w:rsid w:val="00A71452"/>
    <w:rsid w:val="00A723F2"/>
    <w:rsid w:val="00A77BB1"/>
    <w:rsid w:val="00A92326"/>
    <w:rsid w:val="00A94EDA"/>
    <w:rsid w:val="00AB6097"/>
    <w:rsid w:val="00AC2804"/>
    <w:rsid w:val="00AE073E"/>
    <w:rsid w:val="00AE48B6"/>
    <w:rsid w:val="00B3417F"/>
    <w:rsid w:val="00B44165"/>
    <w:rsid w:val="00B840F7"/>
    <w:rsid w:val="00BB3824"/>
    <w:rsid w:val="00BC0004"/>
    <w:rsid w:val="00C357E1"/>
    <w:rsid w:val="00C36C39"/>
    <w:rsid w:val="00C77317"/>
    <w:rsid w:val="00C91B33"/>
    <w:rsid w:val="00C92504"/>
    <w:rsid w:val="00CD6254"/>
    <w:rsid w:val="00CF06C8"/>
    <w:rsid w:val="00D01F04"/>
    <w:rsid w:val="00D3548C"/>
    <w:rsid w:val="00D36E58"/>
    <w:rsid w:val="00D64E1B"/>
    <w:rsid w:val="00D7066D"/>
    <w:rsid w:val="00D96790"/>
    <w:rsid w:val="00DA76B8"/>
    <w:rsid w:val="00DC7568"/>
    <w:rsid w:val="00DF500C"/>
    <w:rsid w:val="00DF77CD"/>
    <w:rsid w:val="00E1070B"/>
    <w:rsid w:val="00E726A8"/>
    <w:rsid w:val="00E8032B"/>
    <w:rsid w:val="00E86E9D"/>
    <w:rsid w:val="00E91C14"/>
    <w:rsid w:val="00E94F03"/>
    <w:rsid w:val="00EC4516"/>
    <w:rsid w:val="00EC4DCD"/>
    <w:rsid w:val="00ED3879"/>
    <w:rsid w:val="00ED7BEB"/>
    <w:rsid w:val="00F021A6"/>
    <w:rsid w:val="00F16AE5"/>
    <w:rsid w:val="00F2545E"/>
    <w:rsid w:val="00F4696A"/>
    <w:rsid w:val="00F5095F"/>
    <w:rsid w:val="00F52F34"/>
    <w:rsid w:val="00F8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3E1"/>
  <w15:docId w15:val="{1C0EC3EB-EE75-47E2-B7E1-841A7AC3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80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653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04"/>
    <w:rPr>
      <w:color w:val="0000FF"/>
      <w:u w:val="single"/>
    </w:rPr>
  </w:style>
  <w:style w:type="character" w:styleId="Strong">
    <w:name w:val="Strong"/>
    <w:basedOn w:val="DefaultParagraphFont"/>
    <w:uiPriority w:val="22"/>
    <w:qFormat/>
    <w:rsid w:val="00571804"/>
    <w:rPr>
      <w:b/>
      <w:bCs/>
    </w:rPr>
  </w:style>
  <w:style w:type="paragraph" w:styleId="ListParagraph">
    <w:name w:val="List Paragraph"/>
    <w:basedOn w:val="Normal"/>
    <w:uiPriority w:val="34"/>
    <w:qFormat/>
    <w:rsid w:val="00571804"/>
    <w:pPr>
      <w:ind w:left="720"/>
      <w:contextualSpacing/>
    </w:pPr>
  </w:style>
  <w:style w:type="character" w:customStyle="1" w:styleId="xcmaintext">
    <w:name w:val="xc_maintext"/>
    <w:basedOn w:val="DefaultParagraphFont"/>
    <w:rsid w:val="00571804"/>
  </w:style>
  <w:style w:type="paragraph" w:styleId="BalloonText">
    <w:name w:val="Balloon Text"/>
    <w:basedOn w:val="Normal"/>
    <w:link w:val="BalloonTextChar"/>
    <w:uiPriority w:val="99"/>
    <w:semiHidden/>
    <w:unhideWhenUsed/>
    <w:rsid w:val="00571804"/>
    <w:rPr>
      <w:rFonts w:ascii="Tahoma" w:hAnsi="Tahoma" w:cs="Tahoma"/>
      <w:sz w:val="16"/>
      <w:szCs w:val="16"/>
    </w:rPr>
  </w:style>
  <w:style w:type="character" w:customStyle="1" w:styleId="BalloonTextChar">
    <w:name w:val="Balloon Text Char"/>
    <w:basedOn w:val="DefaultParagraphFont"/>
    <w:link w:val="BalloonText"/>
    <w:uiPriority w:val="99"/>
    <w:semiHidden/>
    <w:rsid w:val="00571804"/>
    <w:rPr>
      <w:rFonts w:ascii="Tahoma" w:hAnsi="Tahoma" w:cs="Tahoma"/>
      <w:sz w:val="16"/>
      <w:szCs w:val="16"/>
    </w:rPr>
  </w:style>
  <w:style w:type="character" w:customStyle="1" w:styleId="Heading2Char">
    <w:name w:val="Heading 2 Char"/>
    <w:basedOn w:val="DefaultParagraphFont"/>
    <w:link w:val="Heading2"/>
    <w:uiPriority w:val="9"/>
    <w:semiHidden/>
    <w:rsid w:val="00165319"/>
    <w:rPr>
      <w:rFonts w:ascii="Times New Roman" w:hAnsi="Times New Roman" w:cs="Times New Roman"/>
      <w:b/>
      <w:bCs/>
      <w:sz w:val="36"/>
      <w:szCs w:val="36"/>
    </w:rPr>
  </w:style>
  <w:style w:type="paragraph" w:styleId="NormalWeb">
    <w:name w:val="Normal (Web)"/>
    <w:basedOn w:val="Normal"/>
    <w:uiPriority w:val="99"/>
    <w:unhideWhenUsed/>
    <w:rsid w:val="001653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714">
      <w:bodyDiv w:val="1"/>
      <w:marLeft w:val="0"/>
      <w:marRight w:val="0"/>
      <w:marTop w:val="0"/>
      <w:marBottom w:val="0"/>
      <w:divBdr>
        <w:top w:val="none" w:sz="0" w:space="0" w:color="auto"/>
        <w:left w:val="none" w:sz="0" w:space="0" w:color="auto"/>
        <w:bottom w:val="none" w:sz="0" w:space="0" w:color="auto"/>
        <w:right w:val="none" w:sz="0" w:space="0" w:color="auto"/>
      </w:divBdr>
    </w:div>
    <w:div w:id="1295983614">
      <w:bodyDiv w:val="1"/>
      <w:marLeft w:val="0"/>
      <w:marRight w:val="0"/>
      <w:marTop w:val="0"/>
      <w:marBottom w:val="0"/>
      <w:divBdr>
        <w:top w:val="none" w:sz="0" w:space="0" w:color="auto"/>
        <w:left w:val="none" w:sz="0" w:space="0" w:color="auto"/>
        <w:bottom w:val="none" w:sz="0" w:space="0" w:color="auto"/>
        <w:right w:val="none" w:sz="0" w:space="0" w:color="auto"/>
      </w:divBdr>
    </w:div>
    <w:div w:id="1773358432">
      <w:bodyDiv w:val="1"/>
      <w:marLeft w:val="0"/>
      <w:marRight w:val="0"/>
      <w:marTop w:val="0"/>
      <w:marBottom w:val="0"/>
      <w:divBdr>
        <w:top w:val="none" w:sz="0" w:space="0" w:color="auto"/>
        <w:left w:val="none" w:sz="0" w:space="0" w:color="auto"/>
        <w:bottom w:val="none" w:sz="0" w:space="0" w:color="auto"/>
        <w:right w:val="none" w:sz="0" w:space="0" w:color="auto"/>
      </w:divBdr>
    </w:div>
    <w:div w:id="18764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qrcengage.com/aucd/app/make-a-call?3&amp;engagementId=363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sa.gov/about/budget/budgetjustification2018.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aucd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ejensby</dc:creator>
  <cp:keywords/>
  <dc:description/>
  <cp:lastModifiedBy>Kim Musheno</cp:lastModifiedBy>
  <cp:revision>3</cp:revision>
  <dcterms:created xsi:type="dcterms:W3CDTF">2017-06-09T20:03:00Z</dcterms:created>
  <dcterms:modified xsi:type="dcterms:W3CDTF">2017-06-12T16:05:00Z</dcterms:modified>
</cp:coreProperties>
</file>